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A0134" w14:textId="77777777" w:rsidR="002940CA" w:rsidRPr="007A3B2F" w:rsidRDefault="002940CA" w:rsidP="001A1994">
      <w:pPr>
        <w:jc w:val="both"/>
        <w:rPr>
          <w:rFonts w:asciiTheme="minorHAnsi" w:hAnsiTheme="minorHAnsi" w:cstheme="minorHAnsi"/>
          <w:sz w:val="22"/>
          <w:szCs w:val="22"/>
        </w:rPr>
      </w:pPr>
    </w:p>
    <w:p w14:paraId="448887CF" w14:textId="77777777" w:rsidR="007A3B2F" w:rsidRPr="007A3B2F" w:rsidRDefault="007A3B2F" w:rsidP="007A3B2F">
      <w:pPr>
        <w:jc w:val="both"/>
        <w:rPr>
          <w:rFonts w:asciiTheme="minorHAnsi" w:hAnsiTheme="minorHAnsi" w:cstheme="minorHAnsi"/>
          <w:sz w:val="22"/>
          <w:szCs w:val="22"/>
        </w:rPr>
      </w:pPr>
    </w:p>
    <w:p w14:paraId="44CEDF19" w14:textId="77777777" w:rsidR="007A3B2F" w:rsidRPr="007A3B2F" w:rsidRDefault="007A3B2F" w:rsidP="007A3B2F">
      <w:pPr>
        <w:jc w:val="both"/>
        <w:rPr>
          <w:rFonts w:asciiTheme="minorHAnsi" w:hAnsiTheme="minorHAnsi" w:cstheme="minorHAnsi"/>
          <w:b/>
          <w:bCs/>
          <w:sz w:val="22"/>
          <w:szCs w:val="22"/>
        </w:rPr>
      </w:pPr>
      <w:r w:rsidRPr="007A3B2F">
        <w:rPr>
          <w:rFonts w:asciiTheme="minorHAnsi" w:eastAsia="Calibri Light" w:hAnsiTheme="minorHAnsi" w:cstheme="minorHAnsi"/>
          <w:b/>
          <w:bCs/>
          <w:sz w:val="22"/>
          <w:szCs w:val="22"/>
        </w:rPr>
        <w:t>MEMORANDUM</w:t>
      </w:r>
    </w:p>
    <w:p w14:paraId="4F51A630" w14:textId="77777777" w:rsidR="007A3B2F" w:rsidRPr="007A3B2F" w:rsidRDefault="007A3B2F" w:rsidP="007A3B2F">
      <w:pPr>
        <w:jc w:val="both"/>
        <w:rPr>
          <w:rFonts w:asciiTheme="minorHAnsi" w:hAnsiTheme="minorHAnsi" w:cstheme="minorHAnsi"/>
          <w:b/>
          <w:bCs/>
          <w:sz w:val="22"/>
          <w:szCs w:val="22"/>
        </w:rPr>
      </w:pPr>
    </w:p>
    <w:p w14:paraId="0A614CB1" w14:textId="0DD3A73E" w:rsidR="007A3B2F" w:rsidRPr="007A3B2F" w:rsidRDefault="007A3B2F" w:rsidP="007A3B2F">
      <w:pPr>
        <w:tabs>
          <w:tab w:val="left" w:pos="1440"/>
        </w:tabs>
        <w:ind w:left="1440" w:hanging="1440"/>
        <w:jc w:val="both"/>
        <w:rPr>
          <w:rFonts w:asciiTheme="minorHAnsi" w:hAnsiTheme="minorHAnsi" w:cstheme="minorHAnsi"/>
          <w:b/>
          <w:bCs/>
          <w:sz w:val="22"/>
          <w:szCs w:val="22"/>
        </w:rPr>
      </w:pPr>
      <w:r w:rsidRPr="007A3B2F">
        <w:rPr>
          <w:rFonts w:asciiTheme="minorHAnsi" w:hAnsiTheme="minorHAnsi" w:cstheme="minorHAnsi"/>
          <w:b/>
          <w:bCs/>
          <w:sz w:val="22"/>
          <w:szCs w:val="22"/>
        </w:rPr>
        <w:t>TO:</w:t>
      </w:r>
      <w:r w:rsidRPr="007A3B2F">
        <w:rPr>
          <w:rFonts w:asciiTheme="minorHAnsi" w:hAnsiTheme="minorHAnsi" w:cstheme="minorHAnsi"/>
          <w:b/>
          <w:bCs/>
          <w:sz w:val="22"/>
          <w:szCs w:val="22"/>
        </w:rPr>
        <w:tab/>
        <w:t>Primary Care Associations (PCA)</w:t>
      </w:r>
    </w:p>
    <w:p w14:paraId="51C7E031" w14:textId="77777777" w:rsidR="007A3B2F" w:rsidRPr="007A3B2F" w:rsidRDefault="007A3B2F" w:rsidP="007A3B2F">
      <w:pPr>
        <w:tabs>
          <w:tab w:val="left" w:pos="1440"/>
        </w:tabs>
        <w:ind w:left="1440" w:hanging="1440"/>
        <w:jc w:val="both"/>
        <w:rPr>
          <w:rFonts w:asciiTheme="minorHAnsi" w:hAnsiTheme="minorHAnsi" w:cstheme="minorHAnsi"/>
          <w:b/>
          <w:bCs/>
          <w:sz w:val="22"/>
          <w:szCs w:val="22"/>
        </w:rPr>
      </w:pPr>
      <w:r w:rsidRPr="007A3B2F">
        <w:rPr>
          <w:rFonts w:asciiTheme="minorHAnsi" w:hAnsiTheme="minorHAnsi" w:cstheme="minorHAnsi"/>
          <w:b/>
          <w:bCs/>
          <w:sz w:val="22"/>
          <w:szCs w:val="22"/>
        </w:rPr>
        <w:t>FROM:</w:t>
      </w:r>
      <w:r w:rsidRPr="007A3B2F">
        <w:rPr>
          <w:rFonts w:asciiTheme="minorHAnsi" w:hAnsiTheme="minorHAnsi" w:cstheme="minorHAnsi"/>
          <w:b/>
          <w:bCs/>
          <w:sz w:val="22"/>
          <w:szCs w:val="22"/>
        </w:rPr>
        <w:tab/>
        <w:t>NACHC State Affairs</w:t>
      </w:r>
    </w:p>
    <w:p w14:paraId="7BF092FC" w14:textId="181685AC" w:rsidR="007A3B2F" w:rsidRPr="007A3B2F" w:rsidRDefault="007A3B2F" w:rsidP="007A3B2F">
      <w:pPr>
        <w:tabs>
          <w:tab w:val="left" w:pos="1440"/>
        </w:tabs>
        <w:ind w:left="1440" w:hanging="1440"/>
        <w:jc w:val="both"/>
        <w:rPr>
          <w:rFonts w:asciiTheme="minorHAnsi" w:hAnsiTheme="minorHAnsi" w:cstheme="minorHAnsi"/>
          <w:b/>
          <w:bCs/>
          <w:sz w:val="22"/>
          <w:szCs w:val="22"/>
        </w:rPr>
      </w:pPr>
      <w:r w:rsidRPr="007A3B2F">
        <w:rPr>
          <w:rFonts w:asciiTheme="minorHAnsi" w:hAnsiTheme="minorHAnsi" w:cstheme="minorHAnsi"/>
          <w:b/>
          <w:bCs/>
          <w:sz w:val="22"/>
          <w:szCs w:val="22"/>
        </w:rPr>
        <w:t>DATE:</w:t>
      </w:r>
      <w:r w:rsidRPr="007A3B2F">
        <w:rPr>
          <w:rFonts w:asciiTheme="minorHAnsi" w:hAnsiTheme="minorHAnsi" w:cstheme="minorHAnsi"/>
          <w:b/>
          <w:bCs/>
          <w:sz w:val="22"/>
          <w:szCs w:val="22"/>
        </w:rPr>
        <w:tab/>
        <w:t>November 9, 2020</w:t>
      </w:r>
    </w:p>
    <w:p w14:paraId="15EA689C" w14:textId="03D6A4FE" w:rsidR="007A3B2F" w:rsidRPr="007A3B2F" w:rsidRDefault="007A3B2F" w:rsidP="007A3B2F">
      <w:pPr>
        <w:rPr>
          <w:rFonts w:asciiTheme="minorHAnsi" w:hAnsiTheme="minorHAnsi" w:cstheme="minorHAnsi"/>
          <w:b/>
          <w:bCs/>
          <w:sz w:val="22"/>
          <w:szCs w:val="22"/>
        </w:rPr>
      </w:pPr>
      <w:r w:rsidRPr="007A3B2F">
        <w:rPr>
          <w:rFonts w:asciiTheme="minorHAnsi" w:hAnsiTheme="minorHAnsi" w:cstheme="minorHAnsi"/>
          <w:b/>
          <w:bCs/>
          <w:sz w:val="22"/>
          <w:szCs w:val="22"/>
        </w:rPr>
        <w:t>RE:</w:t>
      </w:r>
      <w:r w:rsidRPr="007A3B2F">
        <w:rPr>
          <w:rFonts w:asciiTheme="minorHAnsi" w:hAnsiTheme="minorHAnsi" w:cstheme="minorHAnsi"/>
          <w:b/>
          <w:bCs/>
          <w:sz w:val="22"/>
          <w:szCs w:val="22"/>
        </w:rPr>
        <w:tab/>
      </w:r>
      <w:r w:rsidRPr="007A3B2F">
        <w:rPr>
          <w:rFonts w:asciiTheme="minorHAnsi" w:hAnsiTheme="minorHAnsi" w:cstheme="minorHAnsi"/>
          <w:b/>
          <w:bCs/>
          <w:sz w:val="22"/>
          <w:szCs w:val="22"/>
        </w:rPr>
        <w:tab/>
        <w:t xml:space="preserve">COVID-19 Public </w:t>
      </w:r>
      <w:proofErr w:type="spellStart"/>
      <w:r w:rsidRPr="007A3B2F">
        <w:rPr>
          <w:rFonts w:asciiTheme="minorHAnsi" w:hAnsiTheme="minorHAnsi" w:cstheme="minorHAnsi"/>
          <w:b/>
          <w:bCs/>
          <w:sz w:val="22"/>
          <w:szCs w:val="22"/>
        </w:rPr>
        <w:t>Heath</w:t>
      </w:r>
      <w:proofErr w:type="spellEnd"/>
      <w:r w:rsidRPr="007A3B2F">
        <w:rPr>
          <w:rFonts w:asciiTheme="minorHAnsi" w:hAnsiTheme="minorHAnsi" w:cstheme="minorHAnsi"/>
          <w:b/>
          <w:bCs/>
          <w:sz w:val="22"/>
          <w:szCs w:val="22"/>
        </w:rPr>
        <w:t xml:space="preserve"> Emergency Interim Final Rule Summary</w:t>
      </w:r>
    </w:p>
    <w:p w14:paraId="5F8C6CAB" w14:textId="77777777" w:rsidR="007A3B2F" w:rsidRPr="007A3B2F" w:rsidRDefault="007A3B2F" w:rsidP="007A3B2F">
      <w:pPr>
        <w:pBdr>
          <w:bottom w:val="single" w:sz="12" w:space="1" w:color="000000"/>
        </w:pBdr>
        <w:ind w:left="1440" w:hanging="1440"/>
        <w:jc w:val="both"/>
        <w:rPr>
          <w:rFonts w:asciiTheme="minorHAnsi" w:hAnsiTheme="minorHAnsi" w:cstheme="minorHAnsi"/>
          <w:sz w:val="22"/>
          <w:szCs w:val="22"/>
        </w:rPr>
      </w:pPr>
    </w:p>
    <w:p w14:paraId="2931D774" w14:textId="77777777" w:rsidR="007A3B2F" w:rsidRPr="007A3B2F" w:rsidRDefault="007A3B2F" w:rsidP="007A3B2F">
      <w:pPr>
        <w:jc w:val="both"/>
        <w:rPr>
          <w:rFonts w:asciiTheme="minorHAnsi" w:hAnsiTheme="minorHAnsi" w:cstheme="minorHAnsi"/>
          <w:sz w:val="22"/>
          <w:szCs w:val="22"/>
        </w:rPr>
      </w:pPr>
    </w:p>
    <w:p w14:paraId="7823563A" w14:textId="77777777" w:rsidR="007A3B2F" w:rsidRPr="007A3B2F" w:rsidRDefault="007A3B2F" w:rsidP="007A3B2F">
      <w:pPr>
        <w:jc w:val="both"/>
        <w:rPr>
          <w:rFonts w:asciiTheme="minorHAnsi" w:hAnsiTheme="minorHAnsi" w:cstheme="minorHAnsi"/>
          <w:b/>
          <w:bCs/>
          <w:i/>
          <w:iCs/>
          <w:sz w:val="22"/>
          <w:szCs w:val="22"/>
        </w:rPr>
      </w:pPr>
      <w:r w:rsidRPr="007A3B2F">
        <w:rPr>
          <w:rFonts w:asciiTheme="minorHAnsi" w:hAnsiTheme="minorHAnsi" w:cstheme="minorHAnsi"/>
          <w:b/>
          <w:bCs/>
          <w:i/>
          <w:iCs/>
          <w:sz w:val="22"/>
          <w:szCs w:val="22"/>
        </w:rPr>
        <w:t>Introduction</w:t>
      </w:r>
    </w:p>
    <w:p w14:paraId="6A35EFAA" w14:textId="1075DC5C" w:rsidR="007A3B2F" w:rsidRPr="007A3B2F" w:rsidRDefault="007A3B2F" w:rsidP="007A3B2F">
      <w:pPr>
        <w:tabs>
          <w:tab w:val="left" w:pos="1440"/>
        </w:tabs>
        <w:jc w:val="both"/>
        <w:rPr>
          <w:rFonts w:asciiTheme="minorHAnsi" w:hAnsiTheme="minorHAnsi" w:cstheme="minorHAnsi"/>
          <w:sz w:val="22"/>
          <w:szCs w:val="22"/>
        </w:rPr>
      </w:pPr>
      <w:r w:rsidRPr="007A3B2F">
        <w:rPr>
          <w:rFonts w:asciiTheme="minorHAnsi" w:hAnsiTheme="minorHAnsi" w:cstheme="minorHAnsi"/>
          <w:sz w:val="22"/>
          <w:szCs w:val="22"/>
        </w:rPr>
        <w:t xml:space="preserve">On </w:t>
      </w:r>
      <w:hyperlink r:id="rId11" w:history="1">
        <w:r w:rsidRPr="007A3B2F">
          <w:rPr>
            <w:rFonts w:asciiTheme="minorHAnsi" w:hAnsiTheme="minorHAnsi" w:cstheme="minorHAnsi"/>
            <w:color w:val="0000FF"/>
            <w:sz w:val="22"/>
            <w:szCs w:val="22"/>
            <w:u w:val="single" w:color="0000FF"/>
          </w:rPr>
          <w:t>October 28, 2020</w:t>
        </w:r>
      </w:hyperlink>
      <w:r w:rsidRPr="007A3B2F">
        <w:rPr>
          <w:rFonts w:asciiTheme="minorHAnsi" w:hAnsiTheme="minorHAnsi" w:cstheme="minorHAnsi"/>
          <w:sz w:val="22"/>
          <w:szCs w:val="22"/>
        </w:rPr>
        <w:t xml:space="preserve">, CMS issued an </w:t>
      </w:r>
      <w:hyperlink r:id="rId12" w:history="1">
        <w:r w:rsidRPr="007A3B2F">
          <w:rPr>
            <w:rFonts w:asciiTheme="minorHAnsi" w:hAnsiTheme="minorHAnsi" w:cstheme="minorHAnsi"/>
            <w:color w:val="0000FF"/>
            <w:sz w:val="22"/>
            <w:szCs w:val="22"/>
            <w:u w:val="single" w:color="0000FF"/>
          </w:rPr>
          <w:t>Interim Final Rule</w:t>
        </w:r>
      </w:hyperlink>
      <w:r w:rsidRPr="007A3B2F">
        <w:rPr>
          <w:rFonts w:asciiTheme="minorHAnsi" w:hAnsiTheme="minorHAnsi" w:cstheme="minorHAnsi"/>
          <w:color w:val="0000FF"/>
          <w:sz w:val="22"/>
          <w:szCs w:val="22"/>
          <w:u w:val="single" w:color="0000FF"/>
        </w:rPr>
        <w:t xml:space="preserve"> </w:t>
      </w:r>
      <w:r w:rsidRPr="007A3B2F">
        <w:rPr>
          <w:rFonts w:asciiTheme="minorHAnsi" w:hAnsiTheme="minorHAnsi" w:cstheme="minorHAnsi"/>
          <w:sz w:val="22"/>
          <w:szCs w:val="22"/>
        </w:rPr>
        <w:t>(IFR) with comment</w:t>
      </w:r>
      <w:r w:rsidRPr="007A3B2F">
        <w:rPr>
          <w:rFonts w:asciiTheme="minorHAnsi" w:hAnsiTheme="minorHAnsi" w:cstheme="minorHAnsi"/>
          <w:color w:val="B5082E"/>
          <w:sz w:val="22"/>
          <w:szCs w:val="22"/>
        </w:rPr>
        <w:t xml:space="preserve"> </w:t>
      </w:r>
      <w:r w:rsidRPr="007A3B2F">
        <w:rPr>
          <w:rFonts w:asciiTheme="minorHAnsi" w:hAnsiTheme="minorHAnsi" w:cstheme="minorHAnsi"/>
          <w:sz w:val="22"/>
          <w:szCs w:val="22"/>
        </w:rPr>
        <w:t xml:space="preserve">period, establishing policies relating to the FFCRA passed by Congress  </w:t>
      </w:r>
      <w:r>
        <w:rPr>
          <w:rFonts w:asciiTheme="minorHAnsi" w:hAnsiTheme="minorHAnsi" w:cstheme="minorHAnsi"/>
          <w:sz w:val="22"/>
          <w:szCs w:val="22"/>
        </w:rPr>
        <w:t>this</w:t>
      </w:r>
      <w:r w:rsidRPr="007A3B2F">
        <w:rPr>
          <w:rFonts w:asciiTheme="minorHAnsi" w:hAnsiTheme="minorHAnsi" w:cstheme="minorHAnsi"/>
          <w:sz w:val="22"/>
          <w:szCs w:val="22"/>
        </w:rPr>
        <w:t xml:space="preserve"> spring. Among other things, this IFR (1) establishes important vaccine-related coverage provisions for Medicare, Medicaid, CHIP, and private insurance and (2) alters the critical Maintenance of Effort (MOE) requirement of the FFCRA that states must follow in order to receive a 6.2% increase in FMAP . </w:t>
      </w:r>
      <w:r w:rsidRPr="00D55D56">
        <w:rPr>
          <w:rFonts w:asciiTheme="minorHAnsi" w:hAnsiTheme="minorHAnsi" w:cstheme="minorHAnsi"/>
          <w:b/>
          <w:bCs/>
          <w:sz w:val="22"/>
          <w:szCs w:val="22"/>
        </w:rPr>
        <w:t xml:space="preserve">The rule went into effect November 2, 2020 and was </w:t>
      </w:r>
      <w:hyperlink r:id="rId13" w:history="1">
        <w:r w:rsidRPr="00D55D56">
          <w:rPr>
            <w:rFonts w:asciiTheme="minorHAnsi" w:hAnsiTheme="minorHAnsi" w:cstheme="minorHAnsi"/>
            <w:b/>
            <w:bCs/>
            <w:color w:val="0000FF"/>
            <w:sz w:val="22"/>
            <w:szCs w:val="22"/>
            <w:u w:val="single" w:color="0000FF"/>
          </w:rPr>
          <w:t>published</w:t>
        </w:r>
      </w:hyperlink>
      <w:r w:rsidRPr="00D55D56">
        <w:rPr>
          <w:rFonts w:asciiTheme="minorHAnsi" w:hAnsiTheme="minorHAnsi" w:cstheme="minorHAnsi"/>
          <w:b/>
          <w:bCs/>
          <w:sz w:val="22"/>
          <w:szCs w:val="22"/>
        </w:rPr>
        <w:t xml:space="preserve"> in the Federal Register on November 4, 2020. The interim final rule will have a 60-day comment period ending on January 4, 2021.</w:t>
      </w:r>
      <w:r w:rsidRPr="007A3B2F">
        <w:rPr>
          <w:rFonts w:asciiTheme="minorHAnsi" w:hAnsiTheme="minorHAnsi" w:cstheme="minorHAnsi"/>
          <w:sz w:val="22"/>
          <w:szCs w:val="22"/>
        </w:rPr>
        <w:t xml:space="preserve"> NACHC is planning to comment on both the vaccine and MOE rules. We believe that the COVID-19 vaccine administration requirements could present additional administrative burdens and costs for health centers across the country and that the rule change relating to state Maintenance of Effort requirements could adversely impact FQHC reimbursement and coverage of optional services </w:t>
      </w:r>
    </w:p>
    <w:p w14:paraId="32383595" w14:textId="77777777" w:rsidR="007A3B2F" w:rsidRPr="007A3B2F" w:rsidRDefault="007A3B2F" w:rsidP="007A3B2F">
      <w:pPr>
        <w:jc w:val="both"/>
        <w:rPr>
          <w:rFonts w:asciiTheme="minorHAnsi" w:hAnsiTheme="minorHAnsi" w:cstheme="minorHAnsi"/>
          <w:sz w:val="22"/>
          <w:szCs w:val="22"/>
        </w:rPr>
      </w:pPr>
    </w:p>
    <w:p w14:paraId="316C7364" w14:textId="77777777" w:rsidR="007A3B2F" w:rsidRPr="007A3B2F" w:rsidRDefault="007A3B2F" w:rsidP="007A3B2F">
      <w:pPr>
        <w:jc w:val="both"/>
        <w:rPr>
          <w:rFonts w:asciiTheme="minorHAnsi" w:hAnsiTheme="minorHAnsi" w:cstheme="minorHAnsi"/>
          <w:sz w:val="22"/>
          <w:szCs w:val="22"/>
        </w:rPr>
      </w:pPr>
      <w:r w:rsidRPr="007A3B2F">
        <w:rPr>
          <w:rFonts w:asciiTheme="minorHAnsi" w:hAnsiTheme="minorHAnsi" w:cstheme="minorHAnsi"/>
          <w:b/>
          <w:bCs/>
          <w:sz w:val="22"/>
          <w:szCs w:val="22"/>
          <w:u w:val="single"/>
        </w:rPr>
        <w:t xml:space="preserve">Medicaid </w:t>
      </w:r>
    </w:p>
    <w:p w14:paraId="28938A23" w14:textId="77777777" w:rsidR="007A3B2F" w:rsidRPr="007A3B2F" w:rsidRDefault="007A3B2F" w:rsidP="007A3B2F">
      <w:pPr>
        <w:jc w:val="both"/>
        <w:rPr>
          <w:rFonts w:asciiTheme="minorHAnsi" w:hAnsiTheme="minorHAnsi" w:cstheme="minorHAnsi"/>
          <w:sz w:val="22"/>
          <w:szCs w:val="22"/>
        </w:rPr>
      </w:pPr>
    </w:p>
    <w:p w14:paraId="3F272D24" w14:textId="77777777" w:rsidR="007A3B2F" w:rsidRPr="007A3B2F" w:rsidRDefault="007A3B2F" w:rsidP="007A3B2F">
      <w:pPr>
        <w:jc w:val="both"/>
        <w:rPr>
          <w:rFonts w:asciiTheme="minorHAnsi" w:hAnsiTheme="minorHAnsi" w:cstheme="minorHAnsi"/>
          <w:sz w:val="22"/>
          <w:szCs w:val="22"/>
        </w:rPr>
      </w:pPr>
      <w:r w:rsidRPr="007A3B2F">
        <w:rPr>
          <w:rFonts w:asciiTheme="minorHAnsi" w:hAnsiTheme="minorHAnsi" w:cstheme="minorHAnsi"/>
          <w:sz w:val="22"/>
          <w:szCs w:val="22"/>
        </w:rPr>
        <w:t xml:space="preserve">On </w:t>
      </w:r>
      <w:hyperlink r:id="rId14" w:history="1">
        <w:r w:rsidRPr="007A3B2F">
          <w:rPr>
            <w:rFonts w:asciiTheme="minorHAnsi" w:hAnsiTheme="minorHAnsi" w:cstheme="minorHAnsi"/>
            <w:color w:val="0000FF"/>
            <w:sz w:val="22"/>
            <w:szCs w:val="22"/>
            <w:u w:val="single" w:color="0000FF"/>
          </w:rPr>
          <w:t>October 2, 2020,</w:t>
        </w:r>
      </w:hyperlink>
      <w:r w:rsidRPr="007A3B2F">
        <w:rPr>
          <w:rFonts w:asciiTheme="minorHAnsi" w:hAnsiTheme="minorHAnsi" w:cstheme="minorHAnsi"/>
          <w:sz w:val="22"/>
          <w:szCs w:val="22"/>
        </w:rPr>
        <w:t xml:space="preserve"> the Secretary of HHS extended the Public Health Emergency (PHE) through January 20, 2021. This means that the 6.2 %</w:t>
      </w:r>
      <w:r w:rsidRPr="007A3B2F">
        <w:rPr>
          <w:rFonts w:asciiTheme="minorHAnsi" w:hAnsiTheme="minorHAnsi" w:cstheme="minorHAnsi"/>
          <w:color w:val="B5082E"/>
          <w:sz w:val="22"/>
          <w:szCs w:val="22"/>
        </w:rPr>
        <w:t xml:space="preserve"> </w:t>
      </w:r>
      <w:r w:rsidRPr="007A3B2F">
        <w:rPr>
          <w:rFonts w:asciiTheme="minorHAnsi" w:hAnsiTheme="minorHAnsi" w:cstheme="minorHAnsi"/>
          <w:sz w:val="22"/>
          <w:szCs w:val="22"/>
        </w:rPr>
        <w:t>Federal Medicaid Assistance Percentage (FMAP)</w:t>
      </w:r>
      <w:r w:rsidRPr="007A3B2F">
        <w:rPr>
          <w:rFonts w:asciiTheme="minorHAnsi" w:hAnsiTheme="minorHAnsi" w:cstheme="minorHAnsi"/>
          <w:color w:val="2E97D3"/>
          <w:sz w:val="22"/>
          <w:szCs w:val="22"/>
        </w:rPr>
        <w:t xml:space="preserve"> </w:t>
      </w:r>
      <w:r w:rsidRPr="007A3B2F">
        <w:rPr>
          <w:rFonts w:asciiTheme="minorHAnsi" w:hAnsiTheme="minorHAnsi" w:cstheme="minorHAnsi"/>
          <w:sz w:val="22"/>
          <w:szCs w:val="22"/>
        </w:rPr>
        <w:t xml:space="preserve">increase remains in effect through at least March 31, 2021. This also means that state Medicaid programs must maintain enrollment through at least January 31, 2021. </w:t>
      </w:r>
    </w:p>
    <w:p w14:paraId="5CFBA268" w14:textId="77777777" w:rsidR="007A3B2F" w:rsidRPr="007A3B2F" w:rsidRDefault="007A3B2F" w:rsidP="007A3B2F">
      <w:pPr>
        <w:jc w:val="both"/>
        <w:rPr>
          <w:rFonts w:asciiTheme="minorHAnsi" w:hAnsiTheme="minorHAnsi" w:cstheme="minorHAnsi"/>
          <w:sz w:val="22"/>
          <w:szCs w:val="22"/>
        </w:rPr>
      </w:pPr>
    </w:p>
    <w:p w14:paraId="3C9251F0" w14:textId="77777777" w:rsidR="007A3B2F" w:rsidRPr="007A3B2F" w:rsidRDefault="007A3B2F" w:rsidP="007A3B2F">
      <w:pPr>
        <w:jc w:val="both"/>
        <w:rPr>
          <w:rFonts w:asciiTheme="minorHAnsi" w:hAnsiTheme="minorHAnsi" w:cstheme="minorHAnsi"/>
          <w:sz w:val="22"/>
          <w:szCs w:val="22"/>
        </w:rPr>
      </w:pPr>
      <w:r w:rsidRPr="007A3B2F">
        <w:rPr>
          <w:rFonts w:asciiTheme="minorHAnsi" w:hAnsiTheme="minorHAnsi" w:cstheme="minorHAnsi"/>
          <w:b/>
          <w:bCs/>
          <w:sz w:val="22"/>
          <w:szCs w:val="22"/>
          <w:u w:val="single"/>
        </w:rPr>
        <w:t>Maintenance of Effort</w:t>
      </w:r>
    </w:p>
    <w:p w14:paraId="545E3C14" w14:textId="77777777" w:rsidR="007A3B2F" w:rsidRPr="007A3B2F" w:rsidRDefault="007A3B2F" w:rsidP="007A3B2F">
      <w:pPr>
        <w:jc w:val="both"/>
        <w:rPr>
          <w:rFonts w:asciiTheme="minorHAnsi" w:hAnsiTheme="minorHAnsi" w:cstheme="minorHAnsi"/>
          <w:sz w:val="22"/>
          <w:szCs w:val="22"/>
        </w:rPr>
      </w:pPr>
    </w:p>
    <w:p w14:paraId="3E33A794" w14:textId="77777777" w:rsidR="007A3B2F" w:rsidRPr="007A3B2F" w:rsidRDefault="007A3B2F" w:rsidP="007A3B2F">
      <w:pPr>
        <w:jc w:val="both"/>
        <w:rPr>
          <w:rFonts w:asciiTheme="minorHAnsi" w:hAnsiTheme="minorHAnsi" w:cstheme="minorHAnsi"/>
          <w:sz w:val="22"/>
          <w:szCs w:val="22"/>
        </w:rPr>
      </w:pPr>
      <w:r w:rsidRPr="007A3B2F">
        <w:rPr>
          <w:rFonts w:asciiTheme="minorHAnsi" w:hAnsiTheme="minorHAnsi" w:cstheme="minorHAnsi"/>
          <w:sz w:val="22"/>
          <w:szCs w:val="22"/>
        </w:rPr>
        <w:t>Under the original maintenance-of-effort (MOE) requirements, as a condition of receiving the increased FMAP under the Families First Coronavirus Response Act (FFCRA), state Medicaid programs must not implement eligibility standards, methodologies and procedures that are more restrictive or charge higher premiums tha</w:t>
      </w:r>
      <w:r w:rsidRPr="007A3B2F">
        <w:rPr>
          <w:rFonts w:asciiTheme="minorHAnsi" w:hAnsiTheme="minorHAnsi" w:cstheme="minorHAnsi"/>
          <w:color w:val="B5082E"/>
          <w:sz w:val="22"/>
          <w:szCs w:val="22"/>
        </w:rPr>
        <w:t>n</w:t>
      </w:r>
      <w:r w:rsidRPr="007A3B2F">
        <w:rPr>
          <w:rFonts w:asciiTheme="minorHAnsi" w:hAnsiTheme="minorHAnsi" w:cstheme="minorHAnsi"/>
          <w:sz w:val="22"/>
          <w:szCs w:val="22"/>
        </w:rPr>
        <w:t xml:space="preserve"> were in place on January 1, 2020. They also must not disenroll any beneficiaries who were enrolled as of March 18, 2020, through the end of the month in which the PHE ends. CMS interpreted the continuous coverage requirements of FFCRA as barring states from cutting benefits or increasing cost-sharing for Medicaid beneficiaries while they are enrolled.  </w:t>
      </w:r>
    </w:p>
    <w:p w14:paraId="5EB0AA36" w14:textId="77777777" w:rsidR="007A3B2F" w:rsidRPr="007A3B2F" w:rsidRDefault="007A3B2F" w:rsidP="007A3B2F">
      <w:pPr>
        <w:jc w:val="both"/>
        <w:rPr>
          <w:rFonts w:asciiTheme="minorHAnsi" w:hAnsiTheme="minorHAnsi" w:cstheme="minorHAnsi"/>
          <w:sz w:val="22"/>
          <w:szCs w:val="22"/>
        </w:rPr>
      </w:pPr>
    </w:p>
    <w:p w14:paraId="3A7EC477" w14:textId="77777777" w:rsidR="007A3B2F" w:rsidRPr="007A3B2F" w:rsidRDefault="00653480" w:rsidP="007A3B2F">
      <w:pPr>
        <w:jc w:val="both"/>
        <w:rPr>
          <w:rFonts w:asciiTheme="minorHAnsi" w:hAnsiTheme="minorHAnsi" w:cstheme="minorHAnsi"/>
          <w:sz w:val="22"/>
          <w:szCs w:val="22"/>
        </w:rPr>
      </w:pPr>
      <w:hyperlink r:id="rId15" w:history="1">
        <w:r w:rsidR="007A3B2F" w:rsidRPr="007A3B2F">
          <w:rPr>
            <w:rFonts w:asciiTheme="minorHAnsi" w:hAnsiTheme="minorHAnsi" w:cstheme="minorHAnsi"/>
            <w:color w:val="0000FF"/>
            <w:sz w:val="22"/>
            <w:szCs w:val="22"/>
            <w:u w:val="single" w:color="0000FF"/>
          </w:rPr>
          <w:t>In the Interim Final Rule</w:t>
        </w:r>
      </w:hyperlink>
      <w:r w:rsidR="007A3B2F" w:rsidRPr="007A3B2F">
        <w:rPr>
          <w:rFonts w:asciiTheme="minorHAnsi" w:hAnsiTheme="minorHAnsi" w:cstheme="minorHAnsi"/>
          <w:sz w:val="22"/>
          <w:szCs w:val="22"/>
        </w:rPr>
        <w:t>, however, CMS provides states with more flexibility to “effectuate enrollment transitions during the PHE for COVID-19, which aims to address backlogs in redeterminations and appeals.” CMS’s proposed rule now requires states to maintain enrollment only for “validly enrolled beneficiaries” and provides that someone is not “validly enrolled” in Medicaid if:</w:t>
      </w:r>
    </w:p>
    <w:p w14:paraId="2C43E3D2" w14:textId="77777777" w:rsidR="007A3B2F" w:rsidRPr="007A3B2F" w:rsidRDefault="007A3B2F" w:rsidP="007A3B2F">
      <w:pPr>
        <w:jc w:val="both"/>
        <w:rPr>
          <w:rFonts w:asciiTheme="minorHAnsi" w:hAnsiTheme="minorHAnsi" w:cstheme="minorHAnsi"/>
          <w:sz w:val="22"/>
          <w:szCs w:val="22"/>
        </w:rPr>
      </w:pPr>
    </w:p>
    <w:p w14:paraId="4387B9EB" w14:textId="77777777" w:rsidR="007A3B2F" w:rsidRPr="007A3B2F" w:rsidRDefault="007A3B2F" w:rsidP="007A3B2F">
      <w:pPr>
        <w:numPr>
          <w:ilvl w:val="0"/>
          <w:numId w:val="9"/>
        </w:numPr>
        <w:pBdr>
          <w:left w:val="none" w:sz="0" w:space="7" w:color="auto"/>
        </w:pBdr>
        <w:ind w:hanging="436"/>
        <w:jc w:val="both"/>
        <w:rPr>
          <w:rFonts w:asciiTheme="minorHAnsi" w:hAnsiTheme="minorHAnsi" w:cstheme="minorHAnsi"/>
          <w:sz w:val="22"/>
          <w:szCs w:val="22"/>
        </w:rPr>
      </w:pPr>
      <w:r w:rsidRPr="007A3B2F">
        <w:rPr>
          <w:rFonts w:asciiTheme="minorHAnsi" w:hAnsiTheme="minorHAnsi" w:cstheme="minorHAnsi"/>
          <w:sz w:val="22"/>
          <w:szCs w:val="22"/>
        </w:rPr>
        <w:t xml:space="preserve">There was an agency error that incorrectly determined someone was eligible for Medicaid </w:t>
      </w:r>
    </w:p>
    <w:p w14:paraId="48F442EA" w14:textId="77777777" w:rsidR="007A3B2F" w:rsidRPr="007A3B2F" w:rsidRDefault="007A3B2F" w:rsidP="007A3B2F">
      <w:pPr>
        <w:numPr>
          <w:ilvl w:val="0"/>
          <w:numId w:val="9"/>
        </w:numPr>
        <w:pBdr>
          <w:left w:val="none" w:sz="0" w:space="7" w:color="auto"/>
        </w:pBdr>
        <w:ind w:hanging="436"/>
        <w:jc w:val="both"/>
        <w:rPr>
          <w:rFonts w:asciiTheme="minorHAnsi" w:hAnsiTheme="minorHAnsi" w:cstheme="minorHAnsi"/>
          <w:sz w:val="22"/>
          <w:szCs w:val="22"/>
        </w:rPr>
      </w:pPr>
      <w:r w:rsidRPr="007A3B2F">
        <w:rPr>
          <w:rFonts w:asciiTheme="minorHAnsi" w:hAnsiTheme="minorHAnsi" w:cstheme="minorHAnsi"/>
          <w:sz w:val="22"/>
          <w:szCs w:val="22"/>
        </w:rPr>
        <w:t xml:space="preserve">A Medicaid agency determines that someone has submitted fraudulent information as proof of eligibility </w:t>
      </w:r>
    </w:p>
    <w:p w14:paraId="5DB7DCFA" w14:textId="77777777" w:rsidR="007A3B2F" w:rsidRPr="007A3B2F" w:rsidRDefault="007A3B2F" w:rsidP="007A3B2F">
      <w:pPr>
        <w:numPr>
          <w:ilvl w:val="0"/>
          <w:numId w:val="9"/>
        </w:numPr>
        <w:pBdr>
          <w:left w:val="none" w:sz="0" w:space="7" w:color="auto"/>
        </w:pBdr>
        <w:ind w:hanging="436"/>
        <w:jc w:val="both"/>
        <w:rPr>
          <w:rFonts w:asciiTheme="minorHAnsi" w:hAnsiTheme="minorHAnsi" w:cstheme="minorHAnsi"/>
          <w:sz w:val="22"/>
          <w:szCs w:val="22"/>
        </w:rPr>
      </w:pPr>
      <w:r w:rsidRPr="007A3B2F">
        <w:rPr>
          <w:rFonts w:asciiTheme="minorHAnsi" w:hAnsiTheme="minorHAnsi" w:cstheme="minorHAnsi"/>
          <w:sz w:val="22"/>
          <w:szCs w:val="22"/>
        </w:rPr>
        <w:t xml:space="preserve">An individual received coverage during a presumptive eligibility period   </w:t>
      </w:r>
    </w:p>
    <w:p w14:paraId="71A55815" w14:textId="77777777" w:rsidR="007A3B2F" w:rsidRPr="007A3B2F" w:rsidRDefault="007A3B2F" w:rsidP="007A3B2F">
      <w:pPr>
        <w:jc w:val="both"/>
        <w:rPr>
          <w:rFonts w:asciiTheme="minorHAnsi" w:hAnsiTheme="minorHAnsi" w:cstheme="minorHAnsi"/>
          <w:sz w:val="22"/>
          <w:szCs w:val="22"/>
        </w:rPr>
      </w:pPr>
    </w:p>
    <w:p w14:paraId="6F3101BB" w14:textId="45DBC40B" w:rsidR="007A3B2F" w:rsidRPr="007A3B2F" w:rsidRDefault="007A3B2F" w:rsidP="007A3B2F">
      <w:pPr>
        <w:jc w:val="both"/>
        <w:rPr>
          <w:rFonts w:asciiTheme="minorHAnsi" w:hAnsiTheme="minorHAnsi" w:cstheme="minorHAnsi"/>
          <w:sz w:val="22"/>
          <w:szCs w:val="22"/>
        </w:rPr>
      </w:pPr>
      <w:r w:rsidRPr="007A3B2F">
        <w:rPr>
          <w:rFonts w:asciiTheme="minorHAnsi" w:hAnsiTheme="minorHAnsi" w:cstheme="minorHAnsi"/>
          <w:sz w:val="22"/>
          <w:szCs w:val="22"/>
        </w:rPr>
        <w:lastRenderedPageBreak/>
        <w:t>Additionally, CMS</w:t>
      </w:r>
      <w:r>
        <w:rPr>
          <w:rFonts w:asciiTheme="minorHAnsi" w:hAnsiTheme="minorHAnsi" w:cstheme="minorHAnsi"/>
          <w:sz w:val="22"/>
          <w:szCs w:val="22"/>
        </w:rPr>
        <w:t>’</w:t>
      </w:r>
      <w:r w:rsidRPr="007A3B2F">
        <w:rPr>
          <w:rFonts w:asciiTheme="minorHAnsi" w:hAnsiTheme="minorHAnsi" w:cstheme="minorHAnsi"/>
          <w:sz w:val="22"/>
          <w:szCs w:val="22"/>
        </w:rPr>
        <w:t xml:space="preserve"> proposed rule establishes </w:t>
      </w:r>
      <w:hyperlink r:id="rId16" w:anchor=".X6WBw2hKhPZ" w:history="1">
        <w:r w:rsidRPr="007A3B2F">
          <w:rPr>
            <w:rFonts w:asciiTheme="minorHAnsi" w:hAnsiTheme="minorHAnsi" w:cstheme="minorHAnsi"/>
            <w:color w:val="0000FF"/>
            <w:sz w:val="22"/>
            <w:szCs w:val="22"/>
            <w:u w:val="single" w:color="0000FF"/>
          </w:rPr>
          <w:t>three tiers of coverage</w:t>
        </w:r>
      </w:hyperlink>
      <w:r w:rsidRPr="007A3B2F">
        <w:rPr>
          <w:rFonts w:asciiTheme="minorHAnsi" w:hAnsiTheme="minorHAnsi" w:cstheme="minorHAnsi"/>
          <w:sz w:val="22"/>
          <w:szCs w:val="22"/>
        </w:rPr>
        <w:t xml:space="preserve"> for beneficiaries as a way for states to maintain their temporary FMAP increase. Under its new reinterpretation, states claiming the FMAP increase are permitted to make programmatic changes, such as:</w:t>
      </w:r>
    </w:p>
    <w:p w14:paraId="461C568C" w14:textId="77777777" w:rsidR="007A3B2F" w:rsidRPr="007A3B2F" w:rsidRDefault="007A3B2F" w:rsidP="007A3B2F">
      <w:pPr>
        <w:numPr>
          <w:ilvl w:val="0"/>
          <w:numId w:val="10"/>
        </w:numPr>
        <w:pBdr>
          <w:left w:val="none" w:sz="0" w:space="7" w:color="auto"/>
        </w:pBdr>
        <w:ind w:left="780" w:hanging="436"/>
        <w:jc w:val="both"/>
        <w:rPr>
          <w:rFonts w:asciiTheme="minorHAnsi" w:hAnsiTheme="minorHAnsi" w:cstheme="minorHAnsi"/>
          <w:sz w:val="22"/>
          <w:szCs w:val="22"/>
        </w:rPr>
      </w:pPr>
      <w:r w:rsidRPr="007A3B2F">
        <w:rPr>
          <w:rFonts w:asciiTheme="minorHAnsi" w:hAnsiTheme="minorHAnsi" w:cstheme="minorHAnsi"/>
          <w:sz w:val="22"/>
          <w:szCs w:val="22"/>
        </w:rPr>
        <w:t xml:space="preserve">Changes to the medical necessity criteria or utilization control procedures in determining coverage for benefits </w:t>
      </w:r>
    </w:p>
    <w:p w14:paraId="48311D30" w14:textId="77777777" w:rsidR="007A3B2F" w:rsidRPr="007A3B2F" w:rsidRDefault="007A3B2F" w:rsidP="007A3B2F">
      <w:pPr>
        <w:numPr>
          <w:ilvl w:val="0"/>
          <w:numId w:val="10"/>
        </w:numPr>
        <w:pBdr>
          <w:left w:val="none" w:sz="0" w:space="7" w:color="auto"/>
        </w:pBdr>
        <w:ind w:left="780" w:hanging="436"/>
        <w:jc w:val="both"/>
        <w:rPr>
          <w:rFonts w:asciiTheme="minorHAnsi" w:hAnsiTheme="minorHAnsi" w:cstheme="minorHAnsi"/>
          <w:sz w:val="22"/>
          <w:szCs w:val="22"/>
        </w:rPr>
      </w:pPr>
      <w:r w:rsidRPr="007A3B2F">
        <w:rPr>
          <w:rFonts w:asciiTheme="minorHAnsi" w:hAnsiTheme="minorHAnsi" w:cstheme="minorHAnsi"/>
          <w:sz w:val="22"/>
          <w:szCs w:val="22"/>
        </w:rPr>
        <w:t>Elimination of certain optional benefits</w:t>
      </w:r>
      <w:r w:rsidRPr="007A3B2F">
        <w:rPr>
          <w:rFonts w:asciiTheme="minorHAnsi" w:hAnsiTheme="minorHAnsi" w:cstheme="minorHAnsi"/>
          <w:sz w:val="22"/>
          <w:szCs w:val="22"/>
          <w:vertAlign w:val="superscript"/>
        </w:rPr>
        <w:footnoteReference w:id="1"/>
      </w:r>
    </w:p>
    <w:p w14:paraId="1F399C99" w14:textId="77777777" w:rsidR="007A3B2F" w:rsidRPr="007A3B2F" w:rsidRDefault="007A3B2F" w:rsidP="007A3B2F">
      <w:pPr>
        <w:numPr>
          <w:ilvl w:val="0"/>
          <w:numId w:val="10"/>
        </w:numPr>
        <w:pBdr>
          <w:left w:val="none" w:sz="0" w:space="7" w:color="auto"/>
        </w:pBdr>
        <w:ind w:left="780" w:hanging="436"/>
        <w:jc w:val="both"/>
        <w:rPr>
          <w:rFonts w:asciiTheme="minorHAnsi" w:hAnsiTheme="minorHAnsi" w:cstheme="minorHAnsi"/>
          <w:sz w:val="22"/>
          <w:szCs w:val="22"/>
        </w:rPr>
      </w:pPr>
      <w:r w:rsidRPr="007A3B2F">
        <w:rPr>
          <w:rFonts w:asciiTheme="minorHAnsi" w:hAnsiTheme="minorHAnsi" w:cstheme="minorHAnsi"/>
          <w:sz w:val="22"/>
          <w:szCs w:val="22"/>
        </w:rPr>
        <w:t xml:space="preserve">Increases in cost sharing by beneficiaries </w:t>
      </w:r>
    </w:p>
    <w:p w14:paraId="00394B1D" w14:textId="77777777" w:rsidR="007A3B2F" w:rsidRPr="007A3B2F" w:rsidRDefault="007A3B2F" w:rsidP="007A3B2F">
      <w:pPr>
        <w:jc w:val="both"/>
        <w:rPr>
          <w:rFonts w:asciiTheme="minorHAnsi" w:hAnsiTheme="minorHAnsi" w:cstheme="minorHAnsi"/>
          <w:sz w:val="22"/>
          <w:szCs w:val="22"/>
        </w:rPr>
      </w:pPr>
    </w:p>
    <w:p w14:paraId="31034D7C" w14:textId="3435C094" w:rsidR="007A3B2F" w:rsidRPr="007A3B2F" w:rsidRDefault="007A3B2F" w:rsidP="007A3B2F">
      <w:pPr>
        <w:jc w:val="both"/>
        <w:rPr>
          <w:rFonts w:asciiTheme="minorHAnsi" w:hAnsiTheme="minorHAnsi" w:cstheme="minorHAnsi"/>
          <w:sz w:val="22"/>
          <w:szCs w:val="22"/>
        </w:rPr>
      </w:pPr>
      <w:r w:rsidRPr="007A3B2F">
        <w:rPr>
          <w:rFonts w:asciiTheme="minorHAnsi" w:hAnsiTheme="minorHAnsi" w:cstheme="minorHAnsi"/>
          <w:sz w:val="22"/>
          <w:szCs w:val="22"/>
        </w:rPr>
        <w:t>In the IF</w:t>
      </w:r>
      <w:r>
        <w:rPr>
          <w:rFonts w:asciiTheme="minorHAnsi" w:hAnsiTheme="minorHAnsi" w:cstheme="minorHAnsi"/>
          <w:sz w:val="22"/>
          <w:szCs w:val="22"/>
        </w:rPr>
        <w:t>R</w:t>
      </w:r>
      <w:r w:rsidRPr="007A3B2F">
        <w:rPr>
          <w:rFonts w:asciiTheme="minorHAnsi" w:hAnsiTheme="minorHAnsi" w:cstheme="minorHAnsi"/>
          <w:sz w:val="22"/>
          <w:szCs w:val="22"/>
        </w:rPr>
        <w:t>, CMS states its intention to provide states with flexibility to make programmatic changes to benefits and cost sharing while also establishing parameters to prevent beneficiaries from losing coverage. CMS acknowledges the challenges states face in managing budgets without cutting services or lowering provider reimbursement rates. Presumably</w:t>
      </w:r>
      <w:r>
        <w:rPr>
          <w:rFonts w:asciiTheme="minorHAnsi" w:hAnsiTheme="minorHAnsi" w:cstheme="minorHAnsi"/>
          <w:sz w:val="22"/>
          <w:szCs w:val="22"/>
        </w:rPr>
        <w:t>,</w:t>
      </w:r>
      <w:r w:rsidRPr="007A3B2F">
        <w:rPr>
          <w:rFonts w:asciiTheme="minorHAnsi" w:hAnsiTheme="minorHAnsi" w:cstheme="minorHAnsi"/>
          <w:sz w:val="22"/>
          <w:szCs w:val="22"/>
        </w:rPr>
        <w:t xml:space="preserve"> this rule change is intended to alleviate this financial </w:t>
      </w:r>
      <w:r>
        <w:rPr>
          <w:rFonts w:asciiTheme="minorHAnsi" w:hAnsiTheme="minorHAnsi" w:cstheme="minorHAnsi"/>
          <w:sz w:val="22"/>
          <w:szCs w:val="22"/>
        </w:rPr>
        <w:t>burden</w:t>
      </w:r>
      <w:r w:rsidRPr="007A3B2F">
        <w:rPr>
          <w:rFonts w:asciiTheme="minorHAnsi" w:hAnsiTheme="minorHAnsi" w:cstheme="minorHAnsi"/>
          <w:sz w:val="22"/>
          <w:szCs w:val="22"/>
        </w:rPr>
        <w:t>. The new MOE requirements are effective immediately, as of November 2, 2020.</w:t>
      </w:r>
    </w:p>
    <w:p w14:paraId="66C05F7E" w14:textId="77777777" w:rsidR="007A3B2F" w:rsidRPr="007A3B2F" w:rsidRDefault="007A3B2F" w:rsidP="007A3B2F">
      <w:pPr>
        <w:jc w:val="both"/>
        <w:rPr>
          <w:rFonts w:asciiTheme="minorHAnsi" w:hAnsiTheme="minorHAnsi" w:cstheme="minorHAnsi"/>
          <w:sz w:val="22"/>
          <w:szCs w:val="22"/>
        </w:rPr>
      </w:pPr>
    </w:p>
    <w:p w14:paraId="7D1C5E01" w14:textId="77777777" w:rsidR="007A3B2F" w:rsidRPr="007A3B2F" w:rsidRDefault="007A3B2F" w:rsidP="007A3B2F">
      <w:pPr>
        <w:jc w:val="both"/>
        <w:rPr>
          <w:rFonts w:asciiTheme="minorHAnsi" w:hAnsiTheme="minorHAnsi" w:cstheme="minorHAnsi"/>
          <w:sz w:val="22"/>
          <w:szCs w:val="22"/>
          <w:u w:val="single"/>
        </w:rPr>
      </w:pPr>
      <w:r w:rsidRPr="007A3B2F">
        <w:rPr>
          <w:rFonts w:asciiTheme="minorHAnsi" w:hAnsiTheme="minorHAnsi" w:cstheme="minorHAnsi"/>
          <w:b/>
          <w:bCs/>
          <w:sz w:val="22"/>
          <w:szCs w:val="22"/>
          <w:u w:val="single"/>
        </w:rPr>
        <w:t>Vaccine Coverage: Key elements in CMS’ new rules relating to vaccine coverage include:</w:t>
      </w:r>
    </w:p>
    <w:p w14:paraId="444F4885" w14:textId="77777777" w:rsidR="007A3B2F" w:rsidRPr="007A3B2F" w:rsidRDefault="007A3B2F" w:rsidP="007A3B2F">
      <w:pPr>
        <w:jc w:val="both"/>
        <w:rPr>
          <w:rFonts w:asciiTheme="minorHAnsi" w:hAnsiTheme="minorHAnsi" w:cstheme="minorHAnsi"/>
          <w:sz w:val="22"/>
          <w:szCs w:val="22"/>
        </w:rPr>
      </w:pPr>
    </w:p>
    <w:p w14:paraId="309DEF68" w14:textId="77777777" w:rsidR="007A3B2F" w:rsidRPr="007A3B2F" w:rsidRDefault="007A3B2F" w:rsidP="007A3B2F">
      <w:pPr>
        <w:numPr>
          <w:ilvl w:val="0"/>
          <w:numId w:val="11"/>
        </w:numPr>
        <w:pBdr>
          <w:left w:val="none" w:sz="0" w:space="7" w:color="auto"/>
        </w:pBdr>
        <w:ind w:hanging="436"/>
        <w:jc w:val="both"/>
        <w:rPr>
          <w:rFonts w:asciiTheme="minorHAnsi" w:hAnsiTheme="minorHAnsi" w:cstheme="minorHAnsi"/>
          <w:sz w:val="22"/>
          <w:szCs w:val="22"/>
        </w:rPr>
      </w:pPr>
      <w:r w:rsidRPr="007A3B2F">
        <w:rPr>
          <w:rFonts w:asciiTheme="minorHAnsi" w:hAnsiTheme="minorHAnsi" w:cstheme="minorHAnsi"/>
          <w:sz w:val="22"/>
          <w:szCs w:val="22"/>
        </w:rPr>
        <w:t xml:space="preserve">For states to receive a temporary 6.2% increase in the FMAP, a state </w:t>
      </w:r>
      <w:r w:rsidRPr="007A3B2F">
        <w:rPr>
          <w:rFonts w:asciiTheme="minorHAnsi" w:hAnsiTheme="minorHAnsi" w:cstheme="minorHAnsi"/>
          <w:b/>
          <w:bCs/>
          <w:sz w:val="22"/>
          <w:szCs w:val="22"/>
        </w:rPr>
        <w:t>must</w:t>
      </w:r>
      <w:r w:rsidRPr="007A3B2F">
        <w:rPr>
          <w:rFonts w:asciiTheme="minorHAnsi" w:hAnsiTheme="minorHAnsi" w:cstheme="minorHAnsi"/>
          <w:sz w:val="22"/>
          <w:szCs w:val="22"/>
        </w:rPr>
        <w:t xml:space="preserve"> cover COVID-19 testing services and treatments, including vaccines and the administration of such vaccines for Medicaid enrollees without cost sharing.</w:t>
      </w:r>
    </w:p>
    <w:p w14:paraId="35F6417F" w14:textId="77777777" w:rsidR="007A3B2F" w:rsidRPr="007A3B2F" w:rsidRDefault="007A3B2F" w:rsidP="007A3B2F">
      <w:pPr>
        <w:numPr>
          <w:ilvl w:val="0"/>
          <w:numId w:val="11"/>
        </w:numPr>
        <w:pBdr>
          <w:left w:val="none" w:sz="0" w:space="7" w:color="auto"/>
        </w:pBdr>
        <w:spacing w:line="259" w:lineRule="auto"/>
        <w:ind w:hanging="436"/>
        <w:jc w:val="both"/>
        <w:rPr>
          <w:rFonts w:asciiTheme="minorHAnsi" w:hAnsiTheme="minorHAnsi" w:cstheme="minorHAnsi"/>
          <w:sz w:val="22"/>
          <w:szCs w:val="22"/>
        </w:rPr>
      </w:pPr>
      <w:r w:rsidRPr="007A3B2F">
        <w:rPr>
          <w:rFonts w:asciiTheme="minorHAnsi" w:hAnsiTheme="minorHAnsi" w:cstheme="minorHAnsi"/>
          <w:sz w:val="22"/>
          <w:szCs w:val="22"/>
        </w:rPr>
        <w:t xml:space="preserve">States </w:t>
      </w:r>
      <w:r w:rsidRPr="007A3B2F">
        <w:rPr>
          <w:rFonts w:asciiTheme="minorHAnsi" w:hAnsiTheme="minorHAnsi" w:cstheme="minorHAnsi"/>
          <w:b/>
          <w:bCs/>
          <w:sz w:val="22"/>
          <w:szCs w:val="22"/>
        </w:rPr>
        <w:t>must compensate</w:t>
      </w:r>
      <w:r w:rsidRPr="007A3B2F">
        <w:rPr>
          <w:rFonts w:asciiTheme="minorHAnsi" w:hAnsiTheme="minorHAnsi" w:cstheme="minorHAnsi"/>
          <w:sz w:val="22"/>
          <w:szCs w:val="22"/>
        </w:rPr>
        <w:t xml:space="preserve"> Medicaid providers with a vaccine administration fee or reimbursement for a provider visit during which a vaccine dose is administered, even if the vaccine dose is furnished to the provider at no cost. </w:t>
      </w:r>
    </w:p>
    <w:p w14:paraId="5CDF0A5A" w14:textId="0D29CA28" w:rsidR="007A3B2F" w:rsidRPr="007A3B2F" w:rsidRDefault="007A3B2F" w:rsidP="00D55D56">
      <w:pPr>
        <w:numPr>
          <w:ilvl w:val="0"/>
          <w:numId w:val="11"/>
        </w:numPr>
        <w:pBdr>
          <w:left w:val="none" w:sz="0" w:space="7" w:color="auto"/>
        </w:pBdr>
        <w:spacing w:line="259" w:lineRule="auto"/>
        <w:ind w:hanging="436"/>
        <w:jc w:val="both"/>
        <w:rPr>
          <w:rFonts w:asciiTheme="minorHAnsi" w:hAnsiTheme="minorHAnsi" w:cstheme="minorHAnsi"/>
          <w:sz w:val="22"/>
          <w:szCs w:val="22"/>
        </w:rPr>
      </w:pPr>
      <w:r w:rsidRPr="007A3B2F">
        <w:rPr>
          <w:rFonts w:asciiTheme="minorHAnsi" w:hAnsiTheme="minorHAnsi" w:cstheme="minorHAnsi"/>
          <w:sz w:val="22"/>
          <w:szCs w:val="22"/>
        </w:rPr>
        <w:t xml:space="preserve">CMS does not interpret the FFCRA to require states to provide COVID-19 testing and treatment services without cost-sharing, including vaccines and their administration, to eligibility groups whose coverage is </w:t>
      </w:r>
      <w:r w:rsidRPr="007A3B2F">
        <w:rPr>
          <w:rFonts w:asciiTheme="minorHAnsi" w:hAnsiTheme="minorHAnsi" w:cstheme="minorHAnsi"/>
          <w:b/>
          <w:bCs/>
          <w:sz w:val="22"/>
          <w:szCs w:val="22"/>
        </w:rPr>
        <w:t>limited by statute or 1115 demonstration</w:t>
      </w:r>
      <w:r w:rsidRPr="007A3B2F">
        <w:rPr>
          <w:rFonts w:asciiTheme="minorHAnsi" w:hAnsiTheme="minorHAnsi" w:cstheme="minorHAnsi"/>
          <w:sz w:val="22"/>
          <w:szCs w:val="22"/>
        </w:rPr>
        <w:t xml:space="preserve">.          </w:t>
      </w:r>
    </w:p>
    <w:p w14:paraId="739D0DA9" w14:textId="7CE1465A" w:rsidR="007A3B2F" w:rsidRPr="007A3B2F" w:rsidRDefault="007A3B2F" w:rsidP="007A3B2F">
      <w:pPr>
        <w:numPr>
          <w:ilvl w:val="0"/>
          <w:numId w:val="12"/>
        </w:numPr>
        <w:pBdr>
          <w:left w:val="none" w:sz="0" w:space="7" w:color="auto"/>
        </w:pBdr>
        <w:spacing w:line="259" w:lineRule="auto"/>
        <w:ind w:hanging="436"/>
        <w:jc w:val="both"/>
        <w:rPr>
          <w:rFonts w:asciiTheme="minorHAnsi" w:hAnsiTheme="minorHAnsi" w:cstheme="minorHAnsi"/>
          <w:sz w:val="22"/>
          <w:szCs w:val="22"/>
        </w:rPr>
      </w:pPr>
      <w:r w:rsidRPr="007A3B2F">
        <w:rPr>
          <w:rFonts w:asciiTheme="minorHAnsi" w:hAnsiTheme="minorHAnsi" w:cstheme="minorHAnsi"/>
          <w:sz w:val="22"/>
          <w:szCs w:val="22"/>
        </w:rPr>
        <w:t>After the increase</w:t>
      </w:r>
      <w:r>
        <w:rPr>
          <w:rFonts w:asciiTheme="minorHAnsi" w:hAnsiTheme="minorHAnsi" w:cstheme="minorHAnsi"/>
          <w:sz w:val="22"/>
          <w:szCs w:val="22"/>
        </w:rPr>
        <w:t>d</w:t>
      </w:r>
      <w:r w:rsidRPr="007A3B2F">
        <w:rPr>
          <w:rFonts w:asciiTheme="minorHAnsi" w:hAnsiTheme="minorHAnsi" w:cstheme="minorHAnsi"/>
          <w:sz w:val="22"/>
          <w:szCs w:val="22"/>
        </w:rPr>
        <w:t xml:space="preserve"> FMAP</w:t>
      </w:r>
      <w:r w:rsidRPr="007A3B2F">
        <w:rPr>
          <w:rFonts w:asciiTheme="minorHAnsi" w:hAnsiTheme="minorHAnsi" w:cstheme="minorHAnsi"/>
          <w:color w:val="000000"/>
          <w:sz w:val="22"/>
          <w:szCs w:val="22"/>
          <w:vertAlign w:val="superscript"/>
        </w:rPr>
        <w:footnoteReference w:id="2"/>
      </w:r>
      <w:r w:rsidRPr="007A3B2F">
        <w:rPr>
          <w:rFonts w:asciiTheme="minorHAnsi" w:hAnsiTheme="minorHAnsi" w:cstheme="minorHAnsi"/>
          <w:sz w:val="22"/>
          <w:szCs w:val="22"/>
        </w:rPr>
        <w:t xml:space="preserve"> requirements and the Public Health Emergency (PHE) are no longer in effect:</w:t>
      </w:r>
    </w:p>
    <w:p w14:paraId="6B220CF8" w14:textId="77777777" w:rsidR="007A3B2F" w:rsidRPr="007A3B2F" w:rsidRDefault="007A3B2F" w:rsidP="007A3B2F">
      <w:pPr>
        <w:numPr>
          <w:ilvl w:val="1"/>
          <w:numId w:val="12"/>
        </w:numPr>
        <w:pBdr>
          <w:left w:val="none" w:sz="0" w:space="5" w:color="auto"/>
        </w:pBdr>
        <w:spacing w:line="259" w:lineRule="auto"/>
        <w:jc w:val="both"/>
        <w:rPr>
          <w:rFonts w:asciiTheme="minorHAnsi" w:hAnsiTheme="minorHAnsi" w:cstheme="minorHAnsi"/>
          <w:sz w:val="22"/>
          <w:szCs w:val="22"/>
        </w:rPr>
      </w:pPr>
      <w:r w:rsidRPr="007A3B2F">
        <w:rPr>
          <w:rFonts w:asciiTheme="minorHAnsi" w:hAnsiTheme="minorHAnsi" w:cstheme="minorHAnsi"/>
          <w:sz w:val="22"/>
          <w:szCs w:val="22"/>
        </w:rPr>
        <w:t xml:space="preserve">the state </w:t>
      </w:r>
      <w:r w:rsidRPr="007A3B2F">
        <w:rPr>
          <w:rFonts w:asciiTheme="minorHAnsi" w:hAnsiTheme="minorHAnsi" w:cstheme="minorHAnsi"/>
          <w:b/>
          <w:bCs/>
          <w:sz w:val="22"/>
          <w:szCs w:val="22"/>
        </w:rPr>
        <w:t>must</w:t>
      </w:r>
      <w:r w:rsidRPr="007A3B2F">
        <w:rPr>
          <w:rFonts w:asciiTheme="minorHAnsi" w:hAnsiTheme="minorHAnsi" w:cstheme="minorHAnsi"/>
          <w:sz w:val="22"/>
          <w:szCs w:val="22"/>
        </w:rPr>
        <w:t xml:space="preserve"> </w:t>
      </w:r>
      <w:r w:rsidRPr="007A3B2F">
        <w:rPr>
          <w:rFonts w:asciiTheme="minorHAnsi" w:hAnsiTheme="minorHAnsi" w:cstheme="minorHAnsi"/>
          <w:b/>
          <w:bCs/>
          <w:sz w:val="22"/>
          <w:szCs w:val="22"/>
        </w:rPr>
        <w:t>cover COVID-19 vaccines</w:t>
      </w:r>
      <w:r w:rsidRPr="007A3B2F">
        <w:rPr>
          <w:rFonts w:asciiTheme="minorHAnsi" w:hAnsiTheme="minorHAnsi" w:cstheme="minorHAnsi"/>
          <w:color w:val="000000"/>
          <w:sz w:val="22"/>
          <w:szCs w:val="22"/>
          <w:vertAlign w:val="superscript"/>
        </w:rPr>
        <w:footnoteReference w:id="3"/>
      </w:r>
      <w:r w:rsidRPr="007A3B2F">
        <w:rPr>
          <w:rFonts w:asciiTheme="minorHAnsi" w:hAnsiTheme="minorHAnsi" w:cstheme="minorHAnsi"/>
          <w:sz w:val="22"/>
          <w:szCs w:val="22"/>
        </w:rPr>
        <w:t>, and their administration, for several populations under existing statutory and regulatory authority.</w:t>
      </w:r>
      <w:r w:rsidRPr="007A3B2F">
        <w:rPr>
          <w:rFonts w:asciiTheme="minorHAnsi" w:hAnsiTheme="minorHAnsi" w:cstheme="minorHAnsi"/>
          <w:color w:val="000000"/>
          <w:sz w:val="22"/>
          <w:szCs w:val="22"/>
          <w:vertAlign w:val="superscript"/>
        </w:rPr>
        <w:footnoteReference w:id="4"/>
      </w:r>
    </w:p>
    <w:p w14:paraId="14587A9C" w14:textId="77777777" w:rsidR="007A3B2F" w:rsidRPr="007A3B2F" w:rsidRDefault="007A3B2F" w:rsidP="007A3B2F">
      <w:pPr>
        <w:numPr>
          <w:ilvl w:val="1"/>
          <w:numId w:val="12"/>
        </w:numPr>
        <w:pBdr>
          <w:left w:val="none" w:sz="0" w:space="5" w:color="auto"/>
        </w:pBdr>
        <w:spacing w:line="259" w:lineRule="auto"/>
        <w:jc w:val="both"/>
        <w:rPr>
          <w:rFonts w:asciiTheme="minorHAnsi" w:hAnsiTheme="minorHAnsi" w:cstheme="minorHAnsi"/>
          <w:sz w:val="22"/>
          <w:szCs w:val="22"/>
        </w:rPr>
      </w:pPr>
      <w:r w:rsidRPr="007A3B2F">
        <w:rPr>
          <w:rFonts w:asciiTheme="minorHAnsi" w:hAnsiTheme="minorHAnsi" w:cstheme="minorHAnsi"/>
          <w:sz w:val="22"/>
          <w:szCs w:val="22"/>
        </w:rPr>
        <w:t xml:space="preserve"> the state also has the option to cover a COVID-19 vaccine and its administration for other eligibility groups. If a state elects to cover a COVID-19 vaccine and its administration for one eligibility group, it must do so for all of them. </w:t>
      </w:r>
    </w:p>
    <w:p w14:paraId="21647788" w14:textId="77777777" w:rsidR="007A3B2F" w:rsidRPr="007A3B2F" w:rsidRDefault="007A3B2F" w:rsidP="007A3B2F">
      <w:pPr>
        <w:numPr>
          <w:ilvl w:val="0"/>
          <w:numId w:val="12"/>
        </w:numPr>
        <w:pBdr>
          <w:left w:val="none" w:sz="0" w:space="7" w:color="auto"/>
        </w:pBdr>
        <w:ind w:hanging="436"/>
        <w:jc w:val="both"/>
        <w:rPr>
          <w:rFonts w:asciiTheme="minorHAnsi" w:hAnsiTheme="minorHAnsi" w:cstheme="minorHAnsi"/>
          <w:sz w:val="22"/>
          <w:szCs w:val="22"/>
        </w:rPr>
      </w:pPr>
      <w:r w:rsidRPr="007A3B2F">
        <w:rPr>
          <w:rFonts w:asciiTheme="minorHAnsi" w:hAnsiTheme="minorHAnsi" w:cstheme="minorHAnsi"/>
          <w:sz w:val="22"/>
          <w:szCs w:val="22"/>
        </w:rPr>
        <w:t xml:space="preserve">CMS issued three toolkits aimed at </w:t>
      </w:r>
      <w:hyperlink r:id="rId17" w:history="1">
        <w:r w:rsidRPr="007A3B2F">
          <w:rPr>
            <w:rFonts w:asciiTheme="minorHAnsi" w:hAnsiTheme="minorHAnsi" w:cstheme="minorHAnsi"/>
            <w:color w:val="0000FF"/>
            <w:sz w:val="22"/>
            <w:szCs w:val="22"/>
            <w:u w:val="single" w:color="0000FF"/>
          </w:rPr>
          <w:t>state Medicaid agencies,</w:t>
        </w:r>
      </w:hyperlink>
      <w:r w:rsidRPr="007A3B2F">
        <w:rPr>
          <w:rFonts w:asciiTheme="minorHAnsi" w:hAnsiTheme="minorHAnsi" w:cstheme="minorHAnsi"/>
          <w:sz w:val="22"/>
          <w:szCs w:val="22"/>
        </w:rPr>
        <w:t xml:space="preserve"> providers </w:t>
      </w:r>
      <w:hyperlink r:id="rId18" w:history="1">
        <w:r w:rsidRPr="007A3B2F">
          <w:rPr>
            <w:rFonts w:asciiTheme="minorHAnsi" w:hAnsiTheme="minorHAnsi" w:cstheme="minorHAnsi"/>
            <w:color w:val="0000FF"/>
            <w:sz w:val="22"/>
            <w:szCs w:val="22"/>
            <w:u w:val="single" w:color="0000FF"/>
          </w:rPr>
          <w:t>who will administer the vaccine</w:t>
        </w:r>
      </w:hyperlink>
      <w:r w:rsidRPr="007A3B2F">
        <w:rPr>
          <w:rFonts w:asciiTheme="minorHAnsi" w:hAnsiTheme="minorHAnsi" w:cstheme="minorHAnsi"/>
          <w:sz w:val="22"/>
          <w:szCs w:val="22"/>
        </w:rPr>
        <w:t>, and health insurance plans.</w:t>
      </w:r>
      <w:r w:rsidRPr="007A3B2F">
        <w:rPr>
          <w:rFonts w:asciiTheme="minorHAnsi" w:hAnsiTheme="minorHAnsi" w:cstheme="minorHAnsi"/>
          <w:color w:val="2E97D3"/>
          <w:sz w:val="22"/>
          <w:szCs w:val="22"/>
        </w:rPr>
        <w:t xml:space="preserve"> </w:t>
      </w:r>
    </w:p>
    <w:p w14:paraId="264A737A" w14:textId="74D2E085" w:rsidR="007A3B2F" w:rsidRPr="007A3B2F" w:rsidRDefault="00D55D56" w:rsidP="007A3B2F">
      <w:pPr>
        <w:numPr>
          <w:ilvl w:val="0"/>
          <w:numId w:val="12"/>
        </w:numPr>
        <w:pBdr>
          <w:left w:val="none" w:sz="0" w:space="7" w:color="auto"/>
        </w:pBdr>
        <w:ind w:hanging="436"/>
        <w:jc w:val="both"/>
        <w:rPr>
          <w:rFonts w:asciiTheme="minorHAnsi" w:hAnsiTheme="minorHAnsi" w:cstheme="minorHAnsi"/>
          <w:sz w:val="22"/>
          <w:szCs w:val="22"/>
        </w:rPr>
      </w:pPr>
      <w:r>
        <w:rPr>
          <w:rFonts w:asciiTheme="minorHAnsi" w:eastAsia="Calibri" w:hAnsiTheme="minorHAnsi" w:cstheme="minorHAnsi"/>
          <w:sz w:val="22"/>
          <w:szCs w:val="22"/>
        </w:rPr>
        <w:t>F</w:t>
      </w:r>
      <w:r w:rsidR="007A3B2F" w:rsidRPr="007A3B2F">
        <w:rPr>
          <w:rFonts w:asciiTheme="minorHAnsi" w:eastAsia="Calibri" w:hAnsiTheme="minorHAnsi" w:cstheme="minorHAnsi"/>
          <w:sz w:val="22"/>
          <w:szCs w:val="22"/>
        </w:rPr>
        <w:t>acility services, such as FQHCs vaccine administration</w:t>
      </w:r>
      <w:r w:rsidR="007A3B2F">
        <w:rPr>
          <w:rFonts w:asciiTheme="minorHAnsi" w:eastAsia="Calibri" w:hAnsiTheme="minorHAnsi" w:cstheme="minorHAnsi"/>
          <w:sz w:val="22"/>
          <w:szCs w:val="22"/>
        </w:rPr>
        <w:t>,</w:t>
      </w:r>
      <w:r w:rsidR="007A3B2F" w:rsidRPr="007A3B2F">
        <w:rPr>
          <w:rFonts w:asciiTheme="minorHAnsi" w:eastAsia="Calibri" w:hAnsiTheme="minorHAnsi" w:cstheme="minorHAnsi"/>
          <w:sz w:val="22"/>
          <w:szCs w:val="22"/>
        </w:rPr>
        <w:t xml:space="preserve"> </w:t>
      </w:r>
      <w:r w:rsidR="007A3B2F">
        <w:rPr>
          <w:rFonts w:asciiTheme="minorHAnsi" w:eastAsia="Calibri" w:hAnsiTheme="minorHAnsi" w:cstheme="minorHAnsi"/>
          <w:sz w:val="22"/>
          <w:szCs w:val="22"/>
        </w:rPr>
        <w:t xml:space="preserve">are </w:t>
      </w:r>
      <w:r w:rsidR="007A3B2F" w:rsidRPr="007A3B2F">
        <w:rPr>
          <w:rFonts w:asciiTheme="minorHAnsi" w:eastAsia="Calibri" w:hAnsiTheme="minorHAnsi" w:cstheme="minorHAnsi"/>
          <w:sz w:val="22"/>
          <w:szCs w:val="22"/>
        </w:rPr>
        <w:t xml:space="preserve">usually included within the prospective payment system (PPS). States may set higher payment rates for vaccine administration to recognize circumstances where costs exceed the established state plan rates and are encouraged to set rates at levels that incentivize access to and availability of vaccines. For example, states could pay higher </w:t>
      </w:r>
      <w:r w:rsidR="007A3B2F" w:rsidRPr="007A3B2F">
        <w:rPr>
          <w:rFonts w:asciiTheme="minorHAnsi" w:eastAsia="Calibri" w:hAnsiTheme="minorHAnsi" w:cstheme="minorHAnsi"/>
          <w:sz w:val="22"/>
          <w:szCs w:val="22"/>
        </w:rPr>
        <w:lastRenderedPageBreak/>
        <w:t>rates for the administration of a COVID-19 vaccine that requires multiple doses or based upon the qualifications of the administering practitioner or the site of service. Additionally, states may adjust or add-on to rates provided within facility settings to account for higher costs associated with COVID-19 vaccine administration that are not otherwise included within the existing state plan rates.</w:t>
      </w:r>
      <w:r w:rsidR="007A3B2F" w:rsidRPr="007A3B2F">
        <w:rPr>
          <w:rFonts w:asciiTheme="minorHAnsi" w:eastAsia="Calibri" w:hAnsiTheme="minorHAnsi" w:cstheme="minorHAnsi"/>
          <w:sz w:val="22"/>
          <w:szCs w:val="22"/>
          <w:vertAlign w:val="superscript"/>
        </w:rPr>
        <w:footnoteReference w:id="5"/>
      </w:r>
    </w:p>
    <w:p w14:paraId="113CC559" w14:textId="77777777" w:rsidR="007A3B2F" w:rsidRPr="007A3B2F" w:rsidRDefault="007A3B2F" w:rsidP="007A3B2F">
      <w:pPr>
        <w:ind w:left="360"/>
        <w:jc w:val="both"/>
        <w:rPr>
          <w:rFonts w:asciiTheme="minorHAnsi" w:hAnsiTheme="minorHAnsi" w:cstheme="minorHAnsi"/>
          <w:sz w:val="22"/>
          <w:szCs w:val="22"/>
        </w:rPr>
      </w:pPr>
    </w:p>
    <w:p w14:paraId="636B9962" w14:textId="77777777" w:rsidR="007A3B2F" w:rsidRPr="007A3B2F" w:rsidRDefault="007A3B2F" w:rsidP="007A3B2F">
      <w:pPr>
        <w:jc w:val="both"/>
        <w:rPr>
          <w:rFonts w:asciiTheme="minorHAnsi" w:hAnsiTheme="minorHAnsi" w:cstheme="minorHAnsi"/>
          <w:sz w:val="22"/>
          <w:szCs w:val="22"/>
        </w:rPr>
      </w:pPr>
    </w:p>
    <w:p w14:paraId="31E82B54" w14:textId="77777777" w:rsidR="007A3B2F" w:rsidRPr="007A3B2F" w:rsidRDefault="007A3B2F" w:rsidP="007A3B2F">
      <w:pPr>
        <w:jc w:val="both"/>
        <w:rPr>
          <w:rFonts w:asciiTheme="minorHAnsi" w:hAnsiTheme="minorHAnsi" w:cstheme="minorHAnsi"/>
          <w:sz w:val="22"/>
          <w:szCs w:val="22"/>
        </w:rPr>
      </w:pPr>
      <w:r w:rsidRPr="007A3B2F">
        <w:rPr>
          <w:rFonts w:asciiTheme="minorHAnsi" w:hAnsiTheme="minorHAnsi" w:cstheme="minorHAnsi"/>
          <w:b/>
          <w:bCs/>
          <w:sz w:val="22"/>
          <w:szCs w:val="22"/>
          <w:u w:val="single"/>
        </w:rPr>
        <w:t xml:space="preserve">Medicare, Private Insurance and Uninsured  </w:t>
      </w:r>
    </w:p>
    <w:p w14:paraId="32D3107B" w14:textId="77777777" w:rsidR="007A3B2F" w:rsidRPr="007A3B2F" w:rsidRDefault="007A3B2F" w:rsidP="007A3B2F">
      <w:pPr>
        <w:jc w:val="both"/>
        <w:rPr>
          <w:rFonts w:asciiTheme="minorHAnsi" w:hAnsiTheme="minorHAnsi" w:cstheme="minorHAnsi"/>
          <w:sz w:val="22"/>
          <w:szCs w:val="22"/>
        </w:rPr>
      </w:pPr>
    </w:p>
    <w:p w14:paraId="662C05CA" w14:textId="77777777" w:rsidR="007A3B2F" w:rsidRPr="007A3B2F" w:rsidRDefault="007A3B2F" w:rsidP="007A3B2F">
      <w:pPr>
        <w:numPr>
          <w:ilvl w:val="0"/>
          <w:numId w:val="13"/>
        </w:numPr>
        <w:pBdr>
          <w:left w:val="none" w:sz="0" w:space="7" w:color="auto"/>
        </w:pBdr>
        <w:ind w:hanging="436"/>
        <w:jc w:val="both"/>
        <w:rPr>
          <w:rFonts w:asciiTheme="minorHAnsi" w:hAnsiTheme="minorHAnsi" w:cstheme="minorHAnsi"/>
          <w:sz w:val="22"/>
          <w:szCs w:val="22"/>
        </w:rPr>
      </w:pPr>
      <w:r w:rsidRPr="007A3B2F">
        <w:rPr>
          <w:rFonts w:asciiTheme="minorHAnsi" w:hAnsiTheme="minorHAnsi" w:cstheme="minorHAnsi"/>
          <w:sz w:val="22"/>
          <w:szCs w:val="22"/>
        </w:rPr>
        <w:t xml:space="preserve">Beneficiaries with Medicare will have no cost sharing for COVID-19 vaccines. </w:t>
      </w:r>
    </w:p>
    <w:p w14:paraId="41E6FEAF" w14:textId="77777777" w:rsidR="007A3B2F" w:rsidRPr="007A3B2F" w:rsidRDefault="007A3B2F" w:rsidP="007A3B2F">
      <w:pPr>
        <w:numPr>
          <w:ilvl w:val="0"/>
          <w:numId w:val="13"/>
        </w:numPr>
        <w:pBdr>
          <w:left w:val="none" w:sz="0" w:space="7" w:color="auto"/>
        </w:pBdr>
        <w:spacing w:line="259" w:lineRule="auto"/>
        <w:ind w:hanging="436"/>
        <w:jc w:val="both"/>
        <w:rPr>
          <w:rFonts w:asciiTheme="minorHAnsi" w:hAnsiTheme="minorHAnsi" w:cstheme="minorHAnsi"/>
          <w:sz w:val="22"/>
          <w:szCs w:val="22"/>
        </w:rPr>
      </w:pPr>
      <w:r w:rsidRPr="007A3B2F">
        <w:rPr>
          <w:rFonts w:asciiTheme="minorHAnsi" w:hAnsiTheme="minorHAnsi" w:cstheme="minorHAnsi"/>
          <w:sz w:val="22"/>
          <w:szCs w:val="22"/>
        </w:rPr>
        <w:t>CMS, along with the Departments of Labor and the Treasury, is requiring that most private health plans and issuers cover a recommended COVID-19 vaccine and its administration, both in-network and out-of-network, with no cost sharing. The rule also provides that out-of-network rates cannot be unreasonably low, and references CMS’s reimbursement rates as a potential guideline for insurance companies.</w:t>
      </w:r>
    </w:p>
    <w:p w14:paraId="55C5536B" w14:textId="77777777" w:rsidR="007A3B2F" w:rsidRPr="007A3B2F" w:rsidRDefault="007A3B2F" w:rsidP="007A3B2F">
      <w:pPr>
        <w:numPr>
          <w:ilvl w:val="0"/>
          <w:numId w:val="13"/>
        </w:numPr>
        <w:pBdr>
          <w:left w:val="none" w:sz="0" w:space="7" w:color="auto"/>
        </w:pBdr>
        <w:spacing w:after="160" w:line="259" w:lineRule="auto"/>
        <w:ind w:hanging="436"/>
        <w:jc w:val="both"/>
        <w:rPr>
          <w:rFonts w:asciiTheme="minorHAnsi" w:hAnsiTheme="minorHAnsi" w:cstheme="minorHAnsi"/>
          <w:sz w:val="22"/>
          <w:szCs w:val="22"/>
        </w:rPr>
      </w:pPr>
      <w:r w:rsidRPr="007A3B2F">
        <w:rPr>
          <w:rFonts w:asciiTheme="minorHAnsi" w:hAnsiTheme="minorHAnsi" w:cstheme="minorHAnsi"/>
          <w:sz w:val="22"/>
          <w:szCs w:val="22"/>
        </w:rPr>
        <w:t>The COVID-19 Claims Reimbursement to Health Care Providers and Facilities for Testing and Treatment of the Uninsured Program (COVID-19 Claims Reimbursement program) administered by HRSA is available for reimbursement of a COVID-19 vaccine and vaccine administration costs for individuals who would not receive Medicaid coverage for a COVID-19 vaccine or its administration because their Medicaid coverage is for limited benefit packages only.</w:t>
      </w:r>
    </w:p>
    <w:p w14:paraId="18E3F984" w14:textId="77777777" w:rsidR="007A3B2F" w:rsidRPr="007A3B2F" w:rsidRDefault="007A3B2F" w:rsidP="007A3B2F">
      <w:pPr>
        <w:jc w:val="both"/>
        <w:rPr>
          <w:rFonts w:asciiTheme="minorHAnsi" w:hAnsiTheme="minorHAnsi" w:cstheme="minorHAnsi"/>
          <w:b/>
          <w:bCs/>
          <w:sz w:val="22"/>
          <w:szCs w:val="22"/>
          <w:u w:val="single"/>
        </w:rPr>
      </w:pPr>
    </w:p>
    <w:sectPr w:rsidR="007A3B2F" w:rsidRPr="007A3B2F" w:rsidSect="00607A9B">
      <w:headerReference w:type="default" r:id="rId19"/>
      <w:footerReference w:type="default" r:id="rId20"/>
      <w:headerReference w:type="first" r:id="rId21"/>
      <w:pgSz w:w="12240" w:h="15840"/>
      <w:pgMar w:top="720" w:right="1368" w:bottom="1080" w:left="1368" w:header="706"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7AFAF" w14:textId="77777777" w:rsidR="00417EC5" w:rsidRDefault="00417EC5">
      <w:r>
        <w:separator/>
      </w:r>
    </w:p>
  </w:endnote>
  <w:endnote w:type="continuationSeparator" w:id="0">
    <w:p w14:paraId="19EAB268" w14:textId="77777777" w:rsidR="00417EC5" w:rsidRDefault="0041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097D4" w14:textId="77777777" w:rsidR="008D51BE" w:rsidRDefault="003D40C0">
    <w:pPr>
      <w:jc w:val="center"/>
    </w:pPr>
    <w:r>
      <w:fldChar w:fldCharType="begin"/>
    </w:r>
    <w:r>
      <w:instrText xml:space="preserve"> PAGE   \* MERGEFORMAT </w:instrText>
    </w:r>
    <w:r>
      <w:fldChar w:fldCharType="separate"/>
    </w:r>
    <w:r>
      <w:rPr>
        <w:rFonts w:ascii="Calibri" w:eastAsia="Calibri" w:hAnsi="Calibri" w:cs="Calibri"/>
      </w:rPr>
      <w:t>13</w:t>
    </w:r>
    <w:r>
      <w:rPr>
        <w:rFonts w:ascii="Calibri" w:eastAsia="Calibri" w:hAnsi="Calibri" w:cs="Calibri"/>
      </w:rPr>
      <w:fldChar w:fldCharType="end"/>
    </w:r>
  </w:p>
  <w:p w14:paraId="2E2D8060" w14:textId="77777777" w:rsidR="008D51BE" w:rsidRDefault="008D51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4C96B" w14:textId="77777777" w:rsidR="00417EC5" w:rsidRDefault="00417EC5">
      <w:r>
        <w:separator/>
      </w:r>
    </w:p>
  </w:footnote>
  <w:footnote w:type="continuationSeparator" w:id="0">
    <w:p w14:paraId="353058C7" w14:textId="77777777" w:rsidR="00417EC5" w:rsidRDefault="00417EC5">
      <w:r>
        <w:continuationSeparator/>
      </w:r>
    </w:p>
  </w:footnote>
  <w:footnote w:id="1">
    <w:p w14:paraId="0E1E1387" w14:textId="77777777" w:rsidR="007A3B2F" w:rsidRDefault="007A3B2F" w:rsidP="007A3B2F">
      <w:pPr>
        <w:rPr>
          <w:color w:val="000000"/>
          <w:sz w:val="20"/>
          <w:szCs w:val="20"/>
          <w:vertAlign w:val="superscript"/>
        </w:rPr>
      </w:pPr>
      <w:r w:rsidRPr="00EB737F">
        <w:rPr>
          <w:rStyle w:val="FootnoteReference"/>
          <w:sz w:val="20"/>
          <w:szCs w:val="20"/>
        </w:rPr>
        <w:footnoteRef/>
      </w:r>
      <w:r w:rsidRPr="00EB737F">
        <w:rPr>
          <w:sz w:val="20"/>
          <w:szCs w:val="20"/>
        </w:rPr>
        <w:t xml:space="preserve"> These optional benefits</w:t>
      </w:r>
      <w:r>
        <w:rPr>
          <w:sz w:val="20"/>
          <w:szCs w:val="20"/>
        </w:rPr>
        <w:t xml:space="preserve"> include: adult dental coverage</w:t>
      </w:r>
      <w:r>
        <w:rPr>
          <w:color w:val="2E97D3"/>
          <w:sz w:val="20"/>
          <w:szCs w:val="20"/>
        </w:rPr>
        <w:t xml:space="preserve">, </w:t>
      </w:r>
      <w:r>
        <w:rPr>
          <w:sz w:val="20"/>
          <w:szCs w:val="20"/>
        </w:rPr>
        <w:t xml:space="preserve">prescription drugs, </w:t>
      </w:r>
      <w:r w:rsidRPr="00EB737F">
        <w:rPr>
          <w:sz w:val="20"/>
          <w:szCs w:val="20"/>
        </w:rPr>
        <w:t>and/ others listed at</w:t>
      </w:r>
      <w:r>
        <w:rPr>
          <w:color w:val="2E97D3"/>
          <w:sz w:val="20"/>
          <w:szCs w:val="20"/>
        </w:rPr>
        <w:t>:</w:t>
      </w:r>
      <w:r>
        <w:rPr>
          <w:rFonts w:ascii="Calibri" w:eastAsia="Calibri" w:hAnsi="Calibri" w:cs="Calibri"/>
          <w:color w:val="2E97D3"/>
          <w:sz w:val="20"/>
          <w:szCs w:val="20"/>
        </w:rPr>
        <w:t xml:space="preserve"> </w:t>
      </w:r>
      <w:hyperlink r:id="rId1" w:history="1">
        <w:r>
          <w:rPr>
            <w:color w:val="2E97D3"/>
            <w:sz w:val="20"/>
            <w:szCs w:val="20"/>
            <w:u w:val="single" w:color="2E97D3"/>
          </w:rPr>
          <w:t>https://www.medicaid.gov/medicaid/benefits/mandatory-optional-medicaid-benefits/index.html</w:t>
        </w:r>
      </w:hyperlink>
    </w:p>
  </w:footnote>
  <w:footnote w:id="2">
    <w:p w14:paraId="32DFEBD9" w14:textId="77777777" w:rsidR="007A3B2F" w:rsidRDefault="007A3B2F" w:rsidP="007A3B2F">
      <w:pPr>
        <w:rPr>
          <w:color w:val="000000"/>
          <w:sz w:val="20"/>
          <w:szCs w:val="20"/>
          <w:vertAlign w:val="superscript"/>
        </w:rPr>
      </w:pPr>
      <w:r>
        <w:rPr>
          <w:rStyle w:val="FootnoteReference"/>
          <w:color w:val="000000"/>
          <w:sz w:val="20"/>
          <w:szCs w:val="20"/>
        </w:rPr>
        <w:footnoteRef/>
      </w:r>
      <w:r>
        <w:rPr>
          <w:sz w:val="20"/>
          <w:szCs w:val="20"/>
        </w:rPr>
        <w:t xml:space="preserve"> </w:t>
      </w:r>
      <w:r w:rsidRPr="00EB737F">
        <w:rPr>
          <w:sz w:val="20"/>
          <w:szCs w:val="20"/>
        </w:rPr>
        <w:t>Sec</w:t>
      </w:r>
      <w:r>
        <w:rPr>
          <w:sz w:val="20"/>
          <w:szCs w:val="20"/>
        </w:rPr>
        <w:t xml:space="preserve">tion 6008(b)(4) of the FFCRA </w:t>
      </w:r>
      <w:hyperlink r:id="rId2" w:history="1">
        <w:r>
          <w:rPr>
            <w:color w:val="0000FF"/>
            <w:sz w:val="20"/>
            <w:szCs w:val="20"/>
            <w:u w:val="single" w:color="0000FF"/>
          </w:rPr>
          <w:t>https://www.medicaid.gov/state-resource-center/downloads/covid-19-section-6008-faqs.pdf</w:t>
        </w:r>
      </w:hyperlink>
      <w:r>
        <w:rPr>
          <w:sz w:val="20"/>
          <w:szCs w:val="20"/>
        </w:rPr>
        <w:t xml:space="preserve"> </w:t>
      </w:r>
    </w:p>
  </w:footnote>
  <w:footnote w:id="3">
    <w:p w14:paraId="5367BA73" w14:textId="77777777" w:rsidR="007A3B2F" w:rsidRDefault="007A3B2F" w:rsidP="007A3B2F">
      <w:pPr>
        <w:rPr>
          <w:color w:val="000000"/>
          <w:sz w:val="20"/>
          <w:szCs w:val="20"/>
          <w:vertAlign w:val="superscript"/>
        </w:rPr>
      </w:pPr>
      <w:r>
        <w:rPr>
          <w:rStyle w:val="FootnoteReference"/>
          <w:color w:val="000000"/>
          <w:sz w:val="20"/>
          <w:szCs w:val="20"/>
        </w:rPr>
        <w:footnoteRef/>
      </w:r>
      <w:r>
        <w:rPr>
          <w:sz w:val="20"/>
          <w:szCs w:val="20"/>
        </w:rPr>
        <w:t xml:space="preserve"> Vaccines recommended by the Advisory Committee on Immunization Practices (ACIP)</w:t>
      </w:r>
    </w:p>
  </w:footnote>
  <w:footnote w:id="4">
    <w:p w14:paraId="4D68A6B7" w14:textId="77777777" w:rsidR="007A3B2F" w:rsidRDefault="007A3B2F" w:rsidP="007A3B2F">
      <w:pPr>
        <w:rPr>
          <w:color w:val="000000"/>
          <w:sz w:val="20"/>
          <w:szCs w:val="20"/>
          <w:vertAlign w:val="superscript"/>
        </w:rPr>
      </w:pPr>
      <w:r>
        <w:rPr>
          <w:rStyle w:val="FootnoteReference"/>
          <w:color w:val="000000"/>
          <w:sz w:val="20"/>
          <w:szCs w:val="20"/>
        </w:rPr>
        <w:footnoteRef/>
      </w:r>
      <w:r>
        <w:rPr>
          <w:sz w:val="20"/>
          <w:szCs w:val="20"/>
        </w:rPr>
        <w:t xml:space="preserve"> Some states may also elect to </w:t>
      </w:r>
      <w:r w:rsidRPr="00EB737F">
        <w:rPr>
          <w:sz w:val="20"/>
          <w:szCs w:val="20"/>
        </w:rPr>
        <w:t>receive a 1% FMAP increase for covering ACIP-recommended vaccines and their administration without cost-sharing for adults under section</w:t>
      </w:r>
      <w:r>
        <w:rPr>
          <w:sz w:val="20"/>
          <w:szCs w:val="20"/>
        </w:rPr>
        <w:t xml:space="preserve"> 1905(a)(13) of Social Security Act, pursuant to section 4106 of PPACA.</w:t>
      </w:r>
    </w:p>
  </w:footnote>
  <w:footnote w:id="5">
    <w:p w14:paraId="42D0AB9F" w14:textId="77777777" w:rsidR="007A3B2F" w:rsidRDefault="007A3B2F" w:rsidP="007A3B2F">
      <w:pPr>
        <w:rPr>
          <w:rFonts w:ascii="Calibri" w:eastAsia="Calibri" w:hAnsi="Calibri" w:cs="Calibri"/>
          <w:color w:val="000000"/>
          <w:sz w:val="20"/>
          <w:szCs w:val="20"/>
          <w:vertAlign w:val="superscript"/>
        </w:rPr>
      </w:pPr>
      <w:r>
        <w:rPr>
          <w:rStyle w:val="FootnoteReference"/>
          <w:rFonts w:ascii="Calibri" w:eastAsia="Calibri" w:hAnsi="Calibri" w:cs="Calibri"/>
          <w:color w:val="000000"/>
          <w:sz w:val="20"/>
          <w:szCs w:val="20"/>
        </w:rPr>
        <w:footnoteRef/>
      </w:r>
      <w:r>
        <w:rPr>
          <w:rFonts w:ascii="Calibri" w:eastAsia="Calibri" w:hAnsi="Calibri" w:cs="Calibri"/>
          <w:color w:val="2E97D3"/>
          <w:sz w:val="20"/>
          <w:szCs w:val="20"/>
        </w:rPr>
        <w:t xml:space="preserve"> </w:t>
      </w:r>
      <w:r w:rsidRPr="00EB737F">
        <w:rPr>
          <w:rFonts w:ascii="Calibri" w:eastAsia="Calibri" w:hAnsi="Calibri" w:cs="Calibri"/>
          <w:sz w:val="20"/>
          <w:szCs w:val="20"/>
        </w:rPr>
        <w:t>CMS Toolkit, 3. Reimbursement of the Vaccine and Vaccine Administration:</w:t>
      </w:r>
      <w:r>
        <w:rPr>
          <w:rFonts w:ascii="Calibri" w:eastAsia="Calibri" w:hAnsi="Calibri" w:cs="Calibri"/>
          <w:color w:val="2E97D3"/>
          <w:sz w:val="20"/>
          <w:szCs w:val="20"/>
        </w:rPr>
        <w:t xml:space="preserve"> </w:t>
      </w:r>
      <w:hyperlink r:id="rId3" w:history="1">
        <w:r>
          <w:rPr>
            <w:rFonts w:ascii="Calibri" w:eastAsia="Calibri" w:hAnsi="Calibri" w:cs="Calibri"/>
            <w:color w:val="2E97D3"/>
            <w:sz w:val="20"/>
            <w:szCs w:val="20"/>
            <w:u w:val="single" w:color="2E97D3"/>
          </w:rPr>
          <w:t>https://www.medicaid.gov/state-resource-center/downloads/covid-19-vaccine-toolkit.pdf</w:t>
        </w:r>
      </w:hyperlink>
      <w:r>
        <w:rPr>
          <w:rFonts w:ascii="Calibri" w:eastAsia="Calibri" w:hAnsi="Calibri" w:cs="Calibri"/>
          <w:color w:val="2E97D3"/>
          <w:sz w:val="20"/>
          <w:szCs w:val="20"/>
          <w:u w:val="single" w:color="2E97D3"/>
        </w:rPr>
        <w:t xml:space="preserve"> </w:t>
      </w:r>
    </w:p>
    <w:p w14:paraId="5A54D73D" w14:textId="77777777" w:rsidR="007A3B2F" w:rsidRDefault="007A3B2F" w:rsidP="007A3B2F">
      <w:pPr>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D7D3C" w14:textId="77777777" w:rsidR="008D51BE" w:rsidRDefault="003D40C0">
    <w:pPr>
      <w:jc w:val="center"/>
    </w:pPr>
    <w:r>
      <w:rPr>
        <w:noProof/>
      </w:rPr>
      <w:drawing>
        <wp:anchor distT="0" distB="0" distL="114300" distR="114300" simplePos="0" relativeHeight="251658240" behindDoc="1" locked="0" layoutInCell="1" allowOverlap="1" wp14:anchorId="24C6C592" wp14:editId="78964AFA">
          <wp:simplePos x="0" y="0"/>
          <wp:positionH relativeFrom="column">
            <wp:posOffset>-274320</wp:posOffset>
          </wp:positionH>
          <wp:positionV relativeFrom="paragraph">
            <wp:posOffset>-220980</wp:posOffset>
          </wp:positionV>
          <wp:extent cx="2419350" cy="723900"/>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2419350" cy="723900"/>
                  </a:xfrm>
                  <a:prstGeom prst="rect">
                    <a:avLst/>
                  </a:prstGeom>
                </pic:spPr>
              </pic:pic>
            </a:graphicData>
          </a:graphic>
        </wp:anchor>
      </w:drawing>
    </w:r>
  </w:p>
  <w:p w14:paraId="59EA3372" w14:textId="77777777" w:rsidR="008D51BE" w:rsidRDefault="003D40C0">
    <w:pPr>
      <w:tabs>
        <w:tab w:val="left" w:pos="735"/>
        <w:tab w:val="left" w:pos="2235"/>
        <w:tab w:val="center" w:pos="4680"/>
      </w:tabs>
    </w:pPr>
    <w:r>
      <w:tab/>
    </w:r>
    <w:r>
      <w:tab/>
    </w:r>
    <w:r>
      <w:tab/>
    </w:r>
  </w:p>
  <w:p w14:paraId="08C495A7" w14:textId="77777777" w:rsidR="008D51BE" w:rsidRDefault="008D51BE">
    <w:pPr>
      <w:jc w:val="center"/>
    </w:pPr>
  </w:p>
  <w:p w14:paraId="78ADD718" w14:textId="77777777" w:rsidR="008D51BE" w:rsidRDefault="008D51B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5C681" w14:textId="77777777" w:rsidR="008B5EB5" w:rsidRDefault="008B5EB5" w:rsidP="008B5EB5">
    <w:pPr>
      <w:jc w:val="center"/>
    </w:pPr>
    <w:r>
      <w:rPr>
        <w:noProof/>
      </w:rPr>
      <w:drawing>
        <wp:anchor distT="0" distB="0" distL="114300" distR="114300" simplePos="0" relativeHeight="251660288" behindDoc="1" locked="0" layoutInCell="1" allowOverlap="1" wp14:anchorId="1C6D30C9" wp14:editId="23F55468">
          <wp:simplePos x="0" y="0"/>
          <wp:positionH relativeFrom="column">
            <wp:posOffset>-274320</wp:posOffset>
          </wp:positionH>
          <wp:positionV relativeFrom="paragraph">
            <wp:posOffset>-220980</wp:posOffset>
          </wp:positionV>
          <wp:extent cx="2419350"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2419350" cy="723900"/>
                  </a:xfrm>
                  <a:prstGeom prst="rect">
                    <a:avLst/>
                  </a:prstGeom>
                </pic:spPr>
              </pic:pic>
            </a:graphicData>
          </a:graphic>
        </wp:anchor>
      </w:drawing>
    </w:r>
  </w:p>
  <w:p w14:paraId="1212B624" w14:textId="77777777" w:rsidR="008B5EB5" w:rsidRDefault="008B5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447818B6">
      <w:start w:val="1"/>
      <w:numFmt w:val="bullet"/>
      <w:lvlText w:val=""/>
      <w:lvlJc w:val="left"/>
      <w:pPr>
        <w:ind w:left="720" w:hanging="360"/>
      </w:pPr>
      <w:rPr>
        <w:rFonts w:ascii="Symbol" w:hAnsi="Symbol"/>
        <w:b w:val="0"/>
        <w:bCs w:val="0"/>
      </w:rPr>
    </w:lvl>
    <w:lvl w:ilvl="1" w:tplc="47223B0C">
      <w:start w:val="1"/>
      <w:numFmt w:val="bullet"/>
      <w:lvlText w:val="o"/>
      <w:lvlJc w:val="left"/>
      <w:pPr>
        <w:tabs>
          <w:tab w:val="num" w:pos="1440"/>
        </w:tabs>
        <w:ind w:left="1440" w:hanging="360"/>
      </w:pPr>
      <w:rPr>
        <w:rFonts w:ascii="Courier New" w:hAnsi="Courier New"/>
      </w:rPr>
    </w:lvl>
    <w:lvl w:ilvl="2" w:tplc="B27831A8">
      <w:start w:val="1"/>
      <w:numFmt w:val="bullet"/>
      <w:lvlText w:val=""/>
      <w:lvlJc w:val="left"/>
      <w:pPr>
        <w:tabs>
          <w:tab w:val="num" w:pos="2160"/>
        </w:tabs>
        <w:ind w:left="2160" w:hanging="360"/>
      </w:pPr>
      <w:rPr>
        <w:rFonts w:ascii="Wingdings" w:hAnsi="Wingdings"/>
      </w:rPr>
    </w:lvl>
    <w:lvl w:ilvl="3" w:tplc="807472BA">
      <w:start w:val="1"/>
      <w:numFmt w:val="bullet"/>
      <w:lvlText w:val=""/>
      <w:lvlJc w:val="left"/>
      <w:pPr>
        <w:tabs>
          <w:tab w:val="num" w:pos="2880"/>
        </w:tabs>
        <w:ind w:left="2880" w:hanging="360"/>
      </w:pPr>
      <w:rPr>
        <w:rFonts w:ascii="Symbol" w:hAnsi="Symbol"/>
      </w:rPr>
    </w:lvl>
    <w:lvl w:ilvl="4" w:tplc="B8C85B2C">
      <w:start w:val="1"/>
      <w:numFmt w:val="bullet"/>
      <w:lvlText w:val="o"/>
      <w:lvlJc w:val="left"/>
      <w:pPr>
        <w:tabs>
          <w:tab w:val="num" w:pos="3600"/>
        </w:tabs>
        <w:ind w:left="3600" w:hanging="360"/>
      </w:pPr>
      <w:rPr>
        <w:rFonts w:ascii="Courier New" w:hAnsi="Courier New"/>
      </w:rPr>
    </w:lvl>
    <w:lvl w:ilvl="5" w:tplc="084A490C">
      <w:start w:val="1"/>
      <w:numFmt w:val="bullet"/>
      <w:lvlText w:val=""/>
      <w:lvlJc w:val="left"/>
      <w:pPr>
        <w:tabs>
          <w:tab w:val="num" w:pos="4320"/>
        </w:tabs>
        <w:ind w:left="4320" w:hanging="360"/>
      </w:pPr>
      <w:rPr>
        <w:rFonts w:ascii="Wingdings" w:hAnsi="Wingdings"/>
      </w:rPr>
    </w:lvl>
    <w:lvl w:ilvl="6" w:tplc="D6A87F20">
      <w:start w:val="1"/>
      <w:numFmt w:val="bullet"/>
      <w:lvlText w:val=""/>
      <w:lvlJc w:val="left"/>
      <w:pPr>
        <w:tabs>
          <w:tab w:val="num" w:pos="5040"/>
        </w:tabs>
        <w:ind w:left="5040" w:hanging="360"/>
      </w:pPr>
      <w:rPr>
        <w:rFonts w:ascii="Symbol" w:hAnsi="Symbol"/>
      </w:rPr>
    </w:lvl>
    <w:lvl w:ilvl="7" w:tplc="94A4E594">
      <w:start w:val="1"/>
      <w:numFmt w:val="bullet"/>
      <w:lvlText w:val="o"/>
      <w:lvlJc w:val="left"/>
      <w:pPr>
        <w:tabs>
          <w:tab w:val="num" w:pos="5760"/>
        </w:tabs>
        <w:ind w:left="5760" w:hanging="360"/>
      </w:pPr>
      <w:rPr>
        <w:rFonts w:ascii="Courier New" w:hAnsi="Courier New"/>
      </w:rPr>
    </w:lvl>
    <w:lvl w:ilvl="8" w:tplc="1B5051F4">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22601AA2">
      <w:start w:val="1"/>
      <w:numFmt w:val="bullet"/>
      <w:lvlText w:val=""/>
      <w:lvlJc w:val="left"/>
      <w:pPr>
        <w:ind w:left="720" w:hanging="360"/>
      </w:pPr>
      <w:rPr>
        <w:rFonts w:ascii="Symbol" w:hAnsi="Symbol"/>
        <w:b w:val="0"/>
        <w:bCs w:val="0"/>
      </w:rPr>
    </w:lvl>
    <w:lvl w:ilvl="1" w:tplc="2CB0D114">
      <w:start w:val="1"/>
      <w:numFmt w:val="bullet"/>
      <w:lvlText w:val="o"/>
      <w:lvlJc w:val="left"/>
      <w:pPr>
        <w:tabs>
          <w:tab w:val="num" w:pos="1440"/>
        </w:tabs>
        <w:ind w:left="1440" w:hanging="360"/>
      </w:pPr>
      <w:rPr>
        <w:rFonts w:ascii="Courier New" w:hAnsi="Courier New"/>
      </w:rPr>
    </w:lvl>
    <w:lvl w:ilvl="2" w:tplc="A8FA03D4">
      <w:start w:val="1"/>
      <w:numFmt w:val="bullet"/>
      <w:lvlText w:val=""/>
      <w:lvlJc w:val="left"/>
      <w:pPr>
        <w:tabs>
          <w:tab w:val="num" w:pos="2160"/>
        </w:tabs>
        <w:ind w:left="2160" w:hanging="360"/>
      </w:pPr>
      <w:rPr>
        <w:rFonts w:ascii="Wingdings" w:hAnsi="Wingdings"/>
      </w:rPr>
    </w:lvl>
    <w:lvl w:ilvl="3" w:tplc="16FE53C0">
      <w:start w:val="1"/>
      <w:numFmt w:val="bullet"/>
      <w:lvlText w:val=""/>
      <w:lvlJc w:val="left"/>
      <w:pPr>
        <w:tabs>
          <w:tab w:val="num" w:pos="2880"/>
        </w:tabs>
        <w:ind w:left="2880" w:hanging="360"/>
      </w:pPr>
      <w:rPr>
        <w:rFonts w:ascii="Symbol" w:hAnsi="Symbol"/>
      </w:rPr>
    </w:lvl>
    <w:lvl w:ilvl="4" w:tplc="78D62D4C">
      <w:start w:val="1"/>
      <w:numFmt w:val="bullet"/>
      <w:lvlText w:val="o"/>
      <w:lvlJc w:val="left"/>
      <w:pPr>
        <w:tabs>
          <w:tab w:val="num" w:pos="3600"/>
        </w:tabs>
        <w:ind w:left="3600" w:hanging="360"/>
      </w:pPr>
      <w:rPr>
        <w:rFonts w:ascii="Courier New" w:hAnsi="Courier New"/>
      </w:rPr>
    </w:lvl>
    <w:lvl w:ilvl="5" w:tplc="15C0A608">
      <w:start w:val="1"/>
      <w:numFmt w:val="bullet"/>
      <w:lvlText w:val=""/>
      <w:lvlJc w:val="left"/>
      <w:pPr>
        <w:tabs>
          <w:tab w:val="num" w:pos="4320"/>
        </w:tabs>
        <w:ind w:left="4320" w:hanging="360"/>
      </w:pPr>
      <w:rPr>
        <w:rFonts w:ascii="Wingdings" w:hAnsi="Wingdings"/>
      </w:rPr>
    </w:lvl>
    <w:lvl w:ilvl="6" w:tplc="FF4A71CE">
      <w:start w:val="1"/>
      <w:numFmt w:val="bullet"/>
      <w:lvlText w:val=""/>
      <w:lvlJc w:val="left"/>
      <w:pPr>
        <w:tabs>
          <w:tab w:val="num" w:pos="5040"/>
        </w:tabs>
        <w:ind w:left="5040" w:hanging="360"/>
      </w:pPr>
      <w:rPr>
        <w:rFonts w:ascii="Symbol" w:hAnsi="Symbol"/>
      </w:rPr>
    </w:lvl>
    <w:lvl w:ilvl="7" w:tplc="7AD4ACF4">
      <w:start w:val="1"/>
      <w:numFmt w:val="bullet"/>
      <w:lvlText w:val="o"/>
      <w:lvlJc w:val="left"/>
      <w:pPr>
        <w:tabs>
          <w:tab w:val="num" w:pos="5760"/>
        </w:tabs>
        <w:ind w:left="5760" w:hanging="360"/>
      </w:pPr>
      <w:rPr>
        <w:rFonts w:ascii="Courier New" w:hAnsi="Courier New"/>
      </w:rPr>
    </w:lvl>
    <w:lvl w:ilvl="8" w:tplc="95C4E33A">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75C47DBE">
      <w:start w:val="1"/>
      <w:numFmt w:val="bullet"/>
      <w:lvlText w:val=""/>
      <w:lvlJc w:val="left"/>
      <w:pPr>
        <w:ind w:left="720" w:hanging="360"/>
      </w:pPr>
      <w:rPr>
        <w:rFonts w:ascii="Symbol" w:hAnsi="Symbol"/>
        <w:b w:val="0"/>
        <w:bCs w:val="0"/>
      </w:rPr>
    </w:lvl>
    <w:lvl w:ilvl="1" w:tplc="81CE1CB6">
      <w:start w:val="1"/>
      <w:numFmt w:val="bullet"/>
      <w:lvlText w:val="o"/>
      <w:lvlJc w:val="left"/>
      <w:pPr>
        <w:tabs>
          <w:tab w:val="num" w:pos="1440"/>
        </w:tabs>
        <w:ind w:left="1440" w:hanging="360"/>
      </w:pPr>
      <w:rPr>
        <w:rFonts w:ascii="Courier New" w:hAnsi="Courier New"/>
      </w:rPr>
    </w:lvl>
    <w:lvl w:ilvl="2" w:tplc="BA644172">
      <w:start w:val="1"/>
      <w:numFmt w:val="bullet"/>
      <w:lvlText w:val=""/>
      <w:lvlJc w:val="left"/>
      <w:pPr>
        <w:tabs>
          <w:tab w:val="num" w:pos="2160"/>
        </w:tabs>
        <w:ind w:left="2160" w:hanging="360"/>
      </w:pPr>
      <w:rPr>
        <w:rFonts w:ascii="Wingdings" w:hAnsi="Wingdings"/>
      </w:rPr>
    </w:lvl>
    <w:lvl w:ilvl="3" w:tplc="36082CC0">
      <w:start w:val="1"/>
      <w:numFmt w:val="bullet"/>
      <w:lvlText w:val=""/>
      <w:lvlJc w:val="left"/>
      <w:pPr>
        <w:tabs>
          <w:tab w:val="num" w:pos="2880"/>
        </w:tabs>
        <w:ind w:left="2880" w:hanging="360"/>
      </w:pPr>
      <w:rPr>
        <w:rFonts w:ascii="Symbol" w:hAnsi="Symbol"/>
      </w:rPr>
    </w:lvl>
    <w:lvl w:ilvl="4" w:tplc="496AFD16">
      <w:start w:val="1"/>
      <w:numFmt w:val="bullet"/>
      <w:lvlText w:val="o"/>
      <w:lvlJc w:val="left"/>
      <w:pPr>
        <w:tabs>
          <w:tab w:val="num" w:pos="3600"/>
        </w:tabs>
        <w:ind w:left="3600" w:hanging="360"/>
      </w:pPr>
      <w:rPr>
        <w:rFonts w:ascii="Courier New" w:hAnsi="Courier New"/>
      </w:rPr>
    </w:lvl>
    <w:lvl w:ilvl="5" w:tplc="DA3E1080">
      <w:start w:val="1"/>
      <w:numFmt w:val="bullet"/>
      <w:lvlText w:val=""/>
      <w:lvlJc w:val="left"/>
      <w:pPr>
        <w:tabs>
          <w:tab w:val="num" w:pos="4320"/>
        </w:tabs>
        <w:ind w:left="4320" w:hanging="360"/>
      </w:pPr>
      <w:rPr>
        <w:rFonts w:ascii="Wingdings" w:hAnsi="Wingdings"/>
      </w:rPr>
    </w:lvl>
    <w:lvl w:ilvl="6" w:tplc="78FA6C72">
      <w:start w:val="1"/>
      <w:numFmt w:val="bullet"/>
      <w:lvlText w:val=""/>
      <w:lvlJc w:val="left"/>
      <w:pPr>
        <w:tabs>
          <w:tab w:val="num" w:pos="5040"/>
        </w:tabs>
        <w:ind w:left="5040" w:hanging="360"/>
      </w:pPr>
      <w:rPr>
        <w:rFonts w:ascii="Symbol" w:hAnsi="Symbol"/>
      </w:rPr>
    </w:lvl>
    <w:lvl w:ilvl="7" w:tplc="EC36893E">
      <w:start w:val="1"/>
      <w:numFmt w:val="bullet"/>
      <w:lvlText w:val="o"/>
      <w:lvlJc w:val="left"/>
      <w:pPr>
        <w:tabs>
          <w:tab w:val="num" w:pos="5760"/>
        </w:tabs>
        <w:ind w:left="5760" w:hanging="360"/>
      </w:pPr>
      <w:rPr>
        <w:rFonts w:ascii="Courier New" w:hAnsi="Courier New"/>
      </w:rPr>
    </w:lvl>
    <w:lvl w:ilvl="8" w:tplc="76C2704C">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192C110A">
      <w:start w:val="1"/>
      <w:numFmt w:val="bullet"/>
      <w:lvlText w:val=""/>
      <w:lvlJc w:val="left"/>
      <w:pPr>
        <w:ind w:left="720" w:hanging="360"/>
      </w:pPr>
      <w:rPr>
        <w:rFonts w:ascii="Symbol" w:hAnsi="Symbol"/>
        <w:b w:val="0"/>
        <w:bCs w:val="0"/>
      </w:rPr>
    </w:lvl>
    <w:lvl w:ilvl="1" w:tplc="0FCA0EB2">
      <w:start w:val="1"/>
      <w:numFmt w:val="bullet"/>
      <w:lvlText w:val="o"/>
      <w:lvlJc w:val="left"/>
      <w:pPr>
        <w:ind w:left="1440" w:hanging="360"/>
      </w:pPr>
      <w:rPr>
        <w:rFonts w:ascii="Courier New" w:hAnsi="Courier New"/>
        <w:b w:val="0"/>
        <w:bCs w:val="0"/>
      </w:rPr>
    </w:lvl>
    <w:lvl w:ilvl="2" w:tplc="11902962">
      <w:start w:val="1"/>
      <w:numFmt w:val="bullet"/>
      <w:lvlText w:val=""/>
      <w:lvlJc w:val="left"/>
      <w:pPr>
        <w:tabs>
          <w:tab w:val="num" w:pos="2160"/>
        </w:tabs>
        <w:ind w:left="2160" w:hanging="360"/>
      </w:pPr>
      <w:rPr>
        <w:rFonts w:ascii="Wingdings" w:hAnsi="Wingdings"/>
      </w:rPr>
    </w:lvl>
    <w:lvl w:ilvl="3" w:tplc="D87A6692">
      <w:start w:val="1"/>
      <w:numFmt w:val="bullet"/>
      <w:lvlText w:val=""/>
      <w:lvlJc w:val="left"/>
      <w:pPr>
        <w:tabs>
          <w:tab w:val="num" w:pos="2880"/>
        </w:tabs>
        <w:ind w:left="2880" w:hanging="360"/>
      </w:pPr>
      <w:rPr>
        <w:rFonts w:ascii="Symbol" w:hAnsi="Symbol"/>
      </w:rPr>
    </w:lvl>
    <w:lvl w:ilvl="4" w:tplc="6AF81C0E">
      <w:start w:val="1"/>
      <w:numFmt w:val="bullet"/>
      <w:lvlText w:val="o"/>
      <w:lvlJc w:val="left"/>
      <w:pPr>
        <w:tabs>
          <w:tab w:val="num" w:pos="3600"/>
        </w:tabs>
        <w:ind w:left="3600" w:hanging="360"/>
      </w:pPr>
      <w:rPr>
        <w:rFonts w:ascii="Courier New" w:hAnsi="Courier New"/>
      </w:rPr>
    </w:lvl>
    <w:lvl w:ilvl="5" w:tplc="BD8C4EDA">
      <w:start w:val="1"/>
      <w:numFmt w:val="bullet"/>
      <w:lvlText w:val=""/>
      <w:lvlJc w:val="left"/>
      <w:pPr>
        <w:tabs>
          <w:tab w:val="num" w:pos="4320"/>
        </w:tabs>
        <w:ind w:left="4320" w:hanging="360"/>
      </w:pPr>
      <w:rPr>
        <w:rFonts w:ascii="Wingdings" w:hAnsi="Wingdings"/>
      </w:rPr>
    </w:lvl>
    <w:lvl w:ilvl="6" w:tplc="678E3A08">
      <w:start w:val="1"/>
      <w:numFmt w:val="bullet"/>
      <w:lvlText w:val=""/>
      <w:lvlJc w:val="left"/>
      <w:pPr>
        <w:tabs>
          <w:tab w:val="num" w:pos="5040"/>
        </w:tabs>
        <w:ind w:left="5040" w:hanging="360"/>
      </w:pPr>
      <w:rPr>
        <w:rFonts w:ascii="Symbol" w:hAnsi="Symbol"/>
      </w:rPr>
    </w:lvl>
    <w:lvl w:ilvl="7" w:tplc="92C869D6">
      <w:start w:val="1"/>
      <w:numFmt w:val="bullet"/>
      <w:lvlText w:val="o"/>
      <w:lvlJc w:val="left"/>
      <w:pPr>
        <w:tabs>
          <w:tab w:val="num" w:pos="5760"/>
        </w:tabs>
        <w:ind w:left="5760" w:hanging="360"/>
      </w:pPr>
      <w:rPr>
        <w:rFonts w:ascii="Courier New" w:hAnsi="Courier New"/>
      </w:rPr>
    </w:lvl>
    <w:lvl w:ilvl="8" w:tplc="BDC6FB64">
      <w:start w:val="1"/>
      <w:numFmt w:val="bullet"/>
      <w:lvlText w:val=""/>
      <w:lvlJc w:val="left"/>
      <w:pPr>
        <w:tabs>
          <w:tab w:val="num" w:pos="6480"/>
        </w:tabs>
        <w:ind w:left="6480" w:hanging="360"/>
      </w:pPr>
      <w:rPr>
        <w:rFonts w:ascii="Wingdings" w:hAnsi="Wingdings"/>
      </w:rPr>
    </w:lvl>
  </w:abstractNum>
  <w:abstractNum w:abstractNumId="4" w15:restartNumberingAfterBreak="0">
    <w:nsid w:val="00000006"/>
    <w:multiLevelType w:val="hybridMultilevel"/>
    <w:tmpl w:val="00000006"/>
    <w:lvl w:ilvl="0" w:tplc="810AE5C8">
      <w:start w:val="1"/>
      <w:numFmt w:val="bullet"/>
      <w:lvlText w:val=""/>
      <w:lvlJc w:val="left"/>
      <w:pPr>
        <w:ind w:left="720" w:hanging="360"/>
      </w:pPr>
      <w:rPr>
        <w:rFonts w:ascii="Symbol" w:hAnsi="Symbol"/>
        <w:b w:val="0"/>
        <w:bCs w:val="0"/>
      </w:rPr>
    </w:lvl>
    <w:lvl w:ilvl="1" w:tplc="A740DC06">
      <w:start w:val="1"/>
      <w:numFmt w:val="bullet"/>
      <w:lvlText w:val="o"/>
      <w:lvlJc w:val="left"/>
      <w:pPr>
        <w:tabs>
          <w:tab w:val="num" w:pos="1440"/>
        </w:tabs>
        <w:ind w:left="1440" w:hanging="360"/>
      </w:pPr>
      <w:rPr>
        <w:rFonts w:ascii="Courier New" w:hAnsi="Courier New"/>
      </w:rPr>
    </w:lvl>
    <w:lvl w:ilvl="2" w:tplc="7E40DD0E">
      <w:start w:val="1"/>
      <w:numFmt w:val="bullet"/>
      <w:lvlText w:val=""/>
      <w:lvlJc w:val="left"/>
      <w:pPr>
        <w:tabs>
          <w:tab w:val="num" w:pos="2160"/>
        </w:tabs>
        <w:ind w:left="2160" w:hanging="360"/>
      </w:pPr>
      <w:rPr>
        <w:rFonts w:ascii="Wingdings" w:hAnsi="Wingdings"/>
      </w:rPr>
    </w:lvl>
    <w:lvl w:ilvl="3" w:tplc="FBF45BAC">
      <w:start w:val="1"/>
      <w:numFmt w:val="bullet"/>
      <w:lvlText w:val=""/>
      <w:lvlJc w:val="left"/>
      <w:pPr>
        <w:tabs>
          <w:tab w:val="num" w:pos="2880"/>
        </w:tabs>
        <w:ind w:left="2880" w:hanging="360"/>
      </w:pPr>
      <w:rPr>
        <w:rFonts w:ascii="Symbol" w:hAnsi="Symbol"/>
      </w:rPr>
    </w:lvl>
    <w:lvl w:ilvl="4" w:tplc="572C8414">
      <w:start w:val="1"/>
      <w:numFmt w:val="bullet"/>
      <w:lvlText w:val="o"/>
      <w:lvlJc w:val="left"/>
      <w:pPr>
        <w:tabs>
          <w:tab w:val="num" w:pos="3600"/>
        </w:tabs>
        <w:ind w:left="3600" w:hanging="360"/>
      </w:pPr>
      <w:rPr>
        <w:rFonts w:ascii="Courier New" w:hAnsi="Courier New"/>
      </w:rPr>
    </w:lvl>
    <w:lvl w:ilvl="5" w:tplc="762621B8">
      <w:start w:val="1"/>
      <w:numFmt w:val="bullet"/>
      <w:lvlText w:val=""/>
      <w:lvlJc w:val="left"/>
      <w:pPr>
        <w:tabs>
          <w:tab w:val="num" w:pos="4320"/>
        </w:tabs>
        <w:ind w:left="4320" w:hanging="360"/>
      </w:pPr>
      <w:rPr>
        <w:rFonts w:ascii="Wingdings" w:hAnsi="Wingdings"/>
      </w:rPr>
    </w:lvl>
    <w:lvl w:ilvl="6" w:tplc="D6787394">
      <w:start w:val="1"/>
      <w:numFmt w:val="bullet"/>
      <w:lvlText w:val=""/>
      <w:lvlJc w:val="left"/>
      <w:pPr>
        <w:tabs>
          <w:tab w:val="num" w:pos="5040"/>
        </w:tabs>
        <w:ind w:left="5040" w:hanging="360"/>
      </w:pPr>
      <w:rPr>
        <w:rFonts w:ascii="Symbol" w:hAnsi="Symbol"/>
      </w:rPr>
    </w:lvl>
    <w:lvl w:ilvl="7" w:tplc="5DF4E13A">
      <w:start w:val="1"/>
      <w:numFmt w:val="bullet"/>
      <w:lvlText w:val="o"/>
      <w:lvlJc w:val="left"/>
      <w:pPr>
        <w:tabs>
          <w:tab w:val="num" w:pos="5760"/>
        </w:tabs>
        <w:ind w:left="5760" w:hanging="360"/>
      </w:pPr>
      <w:rPr>
        <w:rFonts w:ascii="Courier New" w:hAnsi="Courier New"/>
      </w:rPr>
    </w:lvl>
    <w:lvl w:ilvl="8" w:tplc="16F8866A">
      <w:start w:val="1"/>
      <w:numFmt w:val="bullet"/>
      <w:lvlText w:val=""/>
      <w:lvlJc w:val="left"/>
      <w:pPr>
        <w:tabs>
          <w:tab w:val="num" w:pos="6480"/>
        </w:tabs>
        <w:ind w:left="6480" w:hanging="360"/>
      </w:pPr>
      <w:rPr>
        <w:rFonts w:ascii="Wingdings" w:hAnsi="Wingdings"/>
      </w:rPr>
    </w:lvl>
  </w:abstractNum>
  <w:abstractNum w:abstractNumId="5" w15:restartNumberingAfterBreak="0">
    <w:nsid w:val="0E5051AA"/>
    <w:multiLevelType w:val="hybridMultilevel"/>
    <w:tmpl w:val="76CA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5260C"/>
    <w:multiLevelType w:val="hybridMultilevel"/>
    <w:tmpl w:val="AE66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1633B"/>
    <w:multiLevelType w:val="hybridMultilevel"/>
    <w:tmpl w:val="54B4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85BA8"/>
    <w:multiLevelType w:val="hybridMultilevel"/>
    <w:tmpl w:val="EE40C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F23C0"/>
    <w:multiLevelType w:val="hybridMultilevel"/>
    <w:tmpl w:val="476A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10C5A"/>
    <w:multiLevelType w:val="hybridMultilevel"/>
    <w:tmpl w:val="0960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E41FA"/>
    <w:multiLevelType w:val="hybridMultilevel"/>
    <w:tmpl w:val="8E4E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65B0C"/>
    <w:multiLevelType w:val="hybridMultilevel"/>
    <w:tmpl w:val="4FBA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11"/>
  </w:num>
  <w:num w:numId="5">
    <w:abstractNumId w:val="9"/>
  </w:num>
  <w:num w:numId="6">
    <w:abstractNumId w:val="7"/>
  </w:num>
  <w:num w:numId="7">
    <w:abstractNumId w:val="12"/>
  </w:num>
  <w:num w:numId="8">
    <w:abstractNumId w:val="5"/>
  </w:num>
  <w:num w:numId="9">
    <w:abstractNumId w:val="0"/>
  </w:num>
  <w:num w:numId="10">
    <w:abstractNumId w:val="1"/>
  </w:num>
  <w:num w:numId="11">
    <w:abstractNumId w:val="2"/>
  </w:num>
  <w:num w:numId="12">
    <w:abstractNumId w:val="3"/>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1BE"/>
    <w:rsid w:val="00036951"/>
    <w:rsid w:val="000A3329"/>
    <w:rsid w:val="000A4971"/>
    <w:rsid w:val="000B4249"/>
    <w:rsid w:val="000E7BB1"/>
    <w:rsid w:val="00105F57"/>
    <w:rsid w:val="001715BA"/>
    <w:rsid w:val="001A1994"/>
    <w:rsid w:val="001C36B9"/>
    <w:rsid w:val="00220B8D"/>
    <w:rsid w:val="00253B4E"/>
    <w:rsid w:val="00274DCC"/>
    <w:rsid w:val="00290483"/>
    <w:rsid w:val="002940CA"/>
    <w:rsid w:val="002E75A9"/>
    <w:rsid w:val="00336226"/>
    <w:rsid w:val="003D40C0"/>
    <w:rsid w:val="00416B6E"/>
    <w:rsid w:val="00417EC5"/>
    <w:rsid w:val="004560E4"/>
    <w:rsid w:val="00460C5D"/>
    <w:rsid w:val="004C1396"/>
    <w:rsid w:val="004F26F9"/>
    <w:rsid w:val="004F5CD7"/>
    <w:rsid w:val="004F7F61"/>
    <w:rsid w:val="00500E44"/>
    <w:rsid w:val="00514ABB"/>
    <w:rsid w:val="005378FF"/>
    <w:rsid w:val="005527EA"/>
    <w:rsid w:val="00571909"/>
    <w:rsid w:val="005E7B39"/>
    <w:rsid w:val="00607A9B"/>
    <w:rsid w:val="00616394"/>
    <w:rsid w:val="006445C7"/>
    <w:rsid w:val="00653480"/>
    <w:rsid w:val="006608AE"/>
    <w:rsid w:val="00673126"/>
    <w:rsid w:val="00677C38"/>
    <w:rsid w:val="00687224"/>
    <w:rsid w:val="006A747B"/>
    <w:rsid w:val="006C38B4"/>
    <w:rsid w:val="006F3270"/>
    <w:rsid w:val="006F76A1"/>
    <w:rsid w:val="007020B7"/>
    <w:rsid w:val="00773B7A"/>
    <w:rsid w:val="007758DA"/>
    <w:rsid w:val="007A3B2F"/>
    <w:rsid w:val="007A6D14"/>
    <w:rsid w:val="007C28C4"/>
    <w:rsid w:val="0081124A"/>
    <w:rsid w:val="0081695A"/>
    <w:rsid w:val="00825B2A"/>
    <w:rsid w:val="0083286F"/>
    <w:rsid w:val="008759D9"/>
    <w:rsid w:val="008922FB"/>
    <w:rsid w:val="008B440F"/>
    <w:rsid w:val="008B5EB5"/>
    <w:rsid w:val="008C3A07"/>
    <w:rsid w:val="008D51BE"/>
    <w:rsid w:val="008F5B42"/>
    <w:rsid w:val="0099789C"/>
    <w:rsid w:val="009D5A1F"/>
    <w:rsid w:val="00A11C0A"/>
    <w:rsid w:val="00A12FF7"/>
    <w:rsid w:val="00A33496"/>
    <w:rsid w:val="00A37280"/>
    <w:rsid w:val="00A5719D"/>
    <w:rsid w:val="00A87B22"/>
    <w:rsid w:val="00AC7F39"/>
    <w:rsid w:val="00AD4638"/>
    <w:rsid w:val="00AF2336"/>
    <w:rsid w:val="00B32921"/>
    <w:rsid w:val="00B5070A"/>
    <w:rsid w:val="00B66722"/>
    <w:rsid w:val="00BA7BDB"/>
    <w:rsid w:val="00BB25DE"/>
    <w:rsid w:val="00BC1145"/>
    <w:rsid w:val="00BE4DD8"/>
    <w:rsid w:val="00C73BF1"/>
    <w:rsid w:val="00D16A2A"/>
    <w:rsid w:val="00D177F4"/>
    <w:rsid w:val="00D209B0"/>
    <w:rsid w:val="00D214C0"/>
    <w:rsid w:val="00D3727B"/>
    <w:rsid w:val="00D44329"/>
    <w:rsid w:val="00D55D56"/>
    <w:rsid w:val="00D94F6B"/>
    <w:rsid w:val="00DA461A"/>
    <w:rsid w:val="00DA6C5D"/>
    <w:rsid w:val="00DD0073"/>
    <w:rsid w:val="00DF1247"/>
    <w:rsid w:val="00DF7FE6"/>
    <w:rsid w:val="00E2505D"/>
    <w:rsid w:val="00E35778"/>
    <w:rsid w:val="00E35840"/>
    <w:rsid w:val="00EB1186"/>
    <w:rsid w:val="00EB30E2"/>
    <w:rsid w:val="00EE320A"/>
    <w:rsid w:val="00EF098D"/>
    <w:rsid w:val="00EF39D5"/>
    <w:rsid w:val="00EF75E8"/>
    <w:rsid w:val="00F7127A"/>
    <w:rsid w:val="00F83E63"/>
    <w:rsid w:val="00FE2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B58665"/>
  <w15:docId w15:val="{584EB6BD-E490-4770-B5C6-FBD11C3E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805BCE"/>
    <w:rPr>
      <w:sz w:val="16"/>
      <w:szCs w:val="16"/>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416B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B6E"/>
    <w:rPr>
      <w:rFonts w:ascii="Segoe UI" w:hAnsi="Segoe UI" w:cs="Segoe UI"/>
      <w:sz w:val="18"/>
      <w:szCs w:val="18"/>
    </w:rPr>
  </w:style>
  <w:style w:type="paragraph" w:styleId="ListParagraph">
    <w:name w:val="List Paragraph"/>
    <w:basedOn w:val="Normal"/>
    <w:uiPriority w:val="34"/>
    <w:qFormat/>
    <w:rsid w:val="00416B6E"/>
    <w:pPr>
      <w:ind w:left="720"/>
      <w:contextualSpacing/>
    </w:pPr>
  </w:style>
  <w:style w:type="paragraph" w:styleId="CommentSubject">
    <w:name w:val="annotation subject"/>
    <w:basedOn w:val="CommentText"/>
    <w:next w:val="CommentText"/>
    <w:link w:val="CommentSubjectChar"/>
    <w:uiPriority w:val="99"/>
    <w:semiHidden/>
    <w:unhideWhenUsed/>
    <w:rsid w:val="00F7127A"/>
    <w:rPr>
      <w:b/>
      <w:bCs/>
    </w:rPr>
  </w:style>
  <w:style w:type="character" w:customStyle="1" w:styleId="CommentSubjectChar">
    <w:name w:val="Comment Subject Char"/>
    <w:basedOn w:val="CommentTextChar"/>
    <w:link w:val="CommentSubject"/>
    <w:uiPriority w:val="99"/>
    <w:semiHidden/>
    <w:rsid w:val="00F7127A"/>
    <w:rPr>
      <w:b/>
      <w:bCs/>
    </w:rPr>
  </w:style>
  <w:style w:type="paragraph" w:styleId="Header">
    <w:name w:val="header"/>
    <w:basedOn w:val="Normal"/>
    <w:link w:val="HeaderChar"/>
    <w:uiPriority w:val="99"/>
    <w:unhideWhenUsed/>
    <w:rsid w:val="00E35778"/>
    <w:pPr>
      <w:tabs>
        <w:tab w:val="center" w:pos="4680"/>
        <w:tab w:val="right" w:pos="9360"/>
      </w:tabs>
    </w:pPr>
  </w:style>
  <w:style w:type="character" w:customStyle="1" w:styleId="HeaderChar">
    <w:name w:val="Header Char"/>
    <w:basedOn w:val="DefaultParagraphFont"/>
    <w:link w:val="Header"/>
    <w:uiPriority w:val="99"/>
    <w:rsid w:val="00E35778"/>
    <w:rPr>
      <w:sz w:val="24"/>
      <w:szCs w:val="24"/>
    </w:rPr>
  </w:style>
  <w:style w:type="paragraph" w:styleId="Footer">
    <w:name w:val="footer"/>
    <w:basedOn w:val="Normal"/>
    <w:link w:val="FooterChar"/>
    <w:uiPriority w:val="99"/>
    <w:unhideWhenUsed/>
    <w:rsid w:val="00E35778"/>
    <w:pPr>
      <w:tabs>
        <w:tab w:val="center" w:pos="4680"/>
        <w:tab w:val="right" w:pos="9360"/>
      </w:tabs>
    </w:pPr>
  </w:style>
  <w:style w:type="character" w:customStyle="1" w:styleId="FooterChar">
    <w:name w:val="Footer Char"/>
    <w:basedOn w:val="DefaultParagraphFont"/>
    <w:link w:val="Footer"/>
    <w:uiPriority w:val="99"/>
    <w:rsid w:val="00E35778"/>
    <w:rPr>
      <w:sz w:val="24"/>
      <w:szCs w:val="24"/>
    </w:rPr>
  </w:style>
  <w:style w:type="character" w:styleId="Hyperlink">
    <w:name w:val="Hyperlink"/>
    <w:basedOn w:val="DefaultParagraphFont"/>
    <w:uiPriority w:val="99"/>
    <w:unhideWhenUsed/>
    <w:rsid w:val="00E35778"/>
    <w:rPr>
      <w:color w:val="0563C1"/>
      <w:u w:val="single"/>
    </w:rPr>
  </w:style>
  <w:style w:type="paragraph" w:styleId="NoSpacing">
    <w:name w:val="No Spacing"/>
    <w:uiPriority w:val="1"/>
    <w:qFormat/>
    <w:rsid w:val="00E35778"/>
    <w:rPr>
      <w:sz w:val="24"/>
      <w:szCs w:val="24"/>
    </w:rPr>
  </w:style>
  <w:style w:type="paragraph" w:styleId="PlainText">
    <w:name w:val="Plain Text"/>
    <w:basedOn w:val="Normal"/>
    <w:link w:val="PlainTextChar"/>
    <w:uiPriority w:val="99"/>
    <w:semiHidden/>
    <w:unhideWhenUsed/>
    <w:rsid w:val="002940CA"/>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2940CA"/>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AD4638"/>
    <w:rPr>
      <w:color w:val="605E5C"/>
      <w:shd w:val="clear" w:color="auto" w:fill="E1DFDD"/>
    </w:rPr>
  </w:style>
  <w:style w:type="character" w:styleId="FollowedHyperlink">
    <w:name w:val="FollowedHyperlink"/>
    <w:basedOn w:val="DefaultParagraphFont"/>
    <w:uiPriority w:val="99"/>
    <w:semiHidden/>
    <w:unhideWhenUsed/>
    <w:rsid w:val="00EF75E8"/>
    <w:rPr>
      <w:color w:val="954F72" w:themeColor="followedHyperlink"/>
      <w:u w:val="single"/>
    </w:rPr>
  </w:style>
  <w:style w:type="character" w:styleId="Emphasis">
    <w:name w:val="Emphasis"/>
    <w:basedOn w:val="DefaultParagraphFont"/>
    <w:uiPriority w:val="20"/>
    <w:qFormat/>
    <w:rsid w:val="00D177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6043">
      <w:bodyDiv w:val="1"/>
      <w:marLeft w:val="0"/>
      <w:marRight w:val="0"/>
      <w:marTop w:val="0"/>
      <w:marBottom w:val="0"/>
      <w:divBdr>
        <w:top w:val="none" w:sz="0" w:space="0" w:color="auto"/>
        <w:left w:val="none" w:sz="0" w:space="0" w:color="auto"/>
        <w:bottom w:val="none" w:sz="0" w:space="0" w:color="auto"/>
        <w:right w:val="none" w:sz="0" w:space="0" w:color="auto"/>
      </w:divBdr>
    </w:div>
    <w:div w:id="332799410">
      <w:bodyDiv w:val="1"/>
      <w:marLeft w:val="0"/>
      <w:marRight w:val="0"/>
      <w:marTop w:val="0"/>
      <w:marBottom w:val="0"/>
      <w:divBdr>
        <w:top w:val="none" w:sz="0" w:space="0" w:color="auto"/>
        <w:left w:val="none" w:sz="0" w:space="0" w:color="auto"/>
        <w:bottom w:val="none" w:sz="0" w:space="0" w:color="auto"/>
        <w:right w:val="none" w:sz="0" w:space="0" w:color="auto"/>
      </w:divBdr>
    </w:div>
    <w:div w:id="721175531">
      <w:bodyDiv w:val="1"/>
      <w:marLeft w:val="0"/>
      <w:marRight w:val="0"/>
      <w:marTop w:val="0"/>
      <w:marBottom w:val="0"/>
      <w:divBdr>
        <w:top w:val="none" w:sz="0" w:space="0" w:color="auto"/>
        <w:left w:val="none" w:sz="0" w:space="0" w:color="auto"/>
        <w:bottom w:val="none" w:sz="0" w:space="0" w:color="auto"/>
        <w:right w:val="none" w:sz="0" w:space="0" w:color="auto"/>
      </w:divBdr>
    </w:div>
    <w:div w:id="2141797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eralregister.gov/documents/2020/11/06/2020-24332/additional-policy-and-regulatory-revisions-in-response-to-the-covid-19-public-health-emergency" TargetMode="External"/><Relationship Id="rId18" Type="http://schemas.openxmlformats.org/officeDocument/2006/relationships/hyperlink" Target="https://www.cms.gov/covidvax-provider"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cms.gov/newsroom/fact-sheets/fourth-covid-19-interim-final-rule-comment-period-ifc-4" TargetMode="External"/><Relationship Id="rId17" Type="http://schemas.openxmlformats.org/officeDocument/2006/relationships/hyperlink" Target="https://www.medicaid.gov/state-resource-center/downloads/covid-19-vaccine-toolkit.pdf" TargetMode="External"/><Relationship Id="rId2" Type="http://schemas.openxmlformats.org/officeDocument/2006/relationships/customXml" Target="../customXml/item2.xml"/><Relationship Id="rId16" Type="http://schemas.openxmlformats.org/officeDocument/2006/relationships/hyperlink" Target="https://www.communitycatalyst.org/blog/cms-rule-goes-against-congressional-intent-and-risks-stripping-emergency-medicaid-coverage-guarante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gov/newsroom/press-releases/trump-administration-acts-ensure-coverage-life-saving-covid-19-vaccines-therapeutics" TargetMode="External"/><Relationship Id="rId5" Type="http://schemas.openxmlformats.org/officeDocument/2006/relationships/numbering" Target="numbering.xml"/><Relationship Id="rId15" Type="http://schemas.openxmlformats.org/officeDocument/2006/relationships/hyperlink" Target="https://ccf.georgetown.edu/2020/11/02/new-cms-rule-would-weaken-families-first-continuous-coverage-protection-in-medicai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cf.georgetown.edu/2020/10/05/secretary-azar-extends-public-health-emergency-medicaid-protections-for-beneficiaries-and-state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edicaid.gov/state-resource-center/downloads/covid-19-vaccine-toolkit.pdf" TargetMode="External"/><Relationship Id="rId2" Type="http://schemas.openxmlformats.org/officeDocument/2006/relationships/hyperlink" Target="https://www.medicaid.gov/state-resource-center/downloads/covid-19-section-6008-faqs.pdf" TargetMode="External"/><Relationship Id="rId1" Type="http://schemas.openxmlformats.org/officeDocument/2006/relationships/hyperlink" Target="https://www.medicaid.gov/medicaid/benefits/mandatory-optional-medicaid-benefits/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DB0170B10D3E498320B0829A6DB016" ma:contentTypeVersion="4" ma:contentTypeDescription="Create a new document." ma:contentTypeScope="" ma:versionID="cc8838924f0098fed648fd5ae5612ac2">
  <xsd:schema xmlns:xsd="http://www.w3.org/2001/XMLSchema" xmlns:xs="http://www.w3.org/2001/XMLSchema" xmlns:p="http://schemas.microsoft.com/office/2006/metadata/properties" xmlns:ns3="e5879003-63fd-448c-a47e-6dcbb8eb9403" targetNamespace="http://schemas.microsoft.com/office/2006/metadata/properties" ma:root="true" ma:fieldsID="8f98e86677fb3382701f631ac75f2f93" ns3:_="">
    <xsd:import namespace="e5879003-63fd-448c-a47e-6dcbb8eb94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79003-63fd-448c-a47e-6dcbb8eb9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75107-433B-4703-AD03-EC7F4283AC6D}">
  <ds:schemaRefs>
    <ds:schemaRef ds:uri="http://schemas.microsoft.com/sharepoint/v3/contenttype/forms"/>
  </ds:schemaRefs>
</ds:datastoreItem>
</file>

<file path=customXml/itemProps2.xml><?xml version="1.0" encoding="utf-8"?>
<ds:datastoreItem xmlns:ds="http://schemas.openxmlformats.org/officeDocument/2006/customXml" ds:itemID="{23A7753B-1716-40CA-98BF-6F57182DF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79003-63fd-448c-a47e-6dcbb8eb9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7A57D2-B4BF-43C7-80D8-0249FBF7E7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AC6FE3-CF4C-4D47-A6C8-50CD77AC2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Crandall</dc:creator>
  <cp:lastModifiedBy>Cheri Rinehart</cp:lastModifiedBy>
  <cp:revision>2</cp:revision>
  <dcterms:created xsi:type="dcterms:W3CDTF">2020-11-20T01:21:00Z</dcterms:created>
  <dcterms:modified xsi:type="dcterms:W3CDTF">2020-11-20T01:21:00Z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0x0101006ADB0170B10D3E498320B0829A6DB016</vt:lpwstr>
  </property>
</Properties>
</file>